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6DC2">
      <w:pPr>
        <w:pStyle w:val="17"/>
        <w:rPr>
          <w:rFonts w:hint="eastAsia"/>
          <w:lang w:val="en-US" w:eastAsia="zh-CN"/>
        </w:rPr>
      </w:pPr>
      <w:r>
        <mc:AlternateContent>
          <mc:Choice Requires="wps">
            <w:drawing>
              <wp:anchor distT="0" distB="0" distL="114300" distR="114300" simplePos="0" relativeHeight="251663360" behindDoc="0" locked="1" layoutInCell="1" allowOverlap="1">
                <wp:simplePos x="0" y="0"/>
                <wp:positionH relativeFrom="margin">
                  <wp:posOffset>-242570</wp:posOffset>
                </wp:positionH>
                <wp:positionV relativeFrom="margin">
                  <wp:posOffset>-554355</wp:posOffset>
                </wp:positionV>
                <wp:extent cx="2540000" cy="657860"/>
                <wp:effectExtent l="0" t="0" r="0" b="254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369F24C">
                            <w:pPr>
                              <w:pStyle w:val="23"/>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23"/>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0B124879"/>
                        </w:txbxContent>
                      </wps:txbx>
                      <wps:bodyPr wrap="square" lIns="0" tIns="0" rIns="0" bIns="0" upright="1"/>
                    </wps:wsp>
                  </a:graphicData>
                </a:graphic>
              </wp:anchor>
            </w:drawing>
          </mc:Choice>
          <mc:Fallback>
            <w:pict>
              <v:shape id="fmFrame1" o:spid="_x0000_s1026" o:spt="202" type="#_x0000_t202" style="position:absolute;left:0pt;margin-left:-19.1pt;margin-top:-43.65pt;height:51.8pt;width:200pt;mso-position-horizontal-relative:margin;mso-position-vertical-relative:margin;z-index:251663360;mso-width-relative:page;mso-height-relative:page;" fillcolor="#FFFFFF" filled="t" stroked="f" coordsize="21600,21600" o:gfxdata="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Eqn0zZAAAACgEAAA8AAAAAAAAAAQAgAAAAIgAAAGRycy9k&#10;b3ducmV2LnhtbFBLAQIUABQAAAAIAIdO4kCQCw5gyAEAAKcDAAAOAAAAAAAAAAEAIAAAACgBAABk&#10;cnMvZTJvRG9jLnhtbFBLBQYAAAAABgAGAFkBAABiBQAAAAA=&#10;">
                <v:fill on="t" focussize="0,0"/>
                <v:stroke on="f"/>
                <v:imagedata o:title=""/>
                <o:lock v:ext="edit" aspectratio="f"/>
                <v:textbox inset="0mm,0mm,0mm,0mm">
                  <w:txbxContent>
                    <w:p w14:paraId="2369F24C">
                      <w:pPr>
                        <w:pStyle w:val="23"/>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23"/>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0B124879"/>
                  </w:txbxContent>
                </v:textbox>
                <w10:anchorlock/>
              </v:shape>
            </w:pict>
          </mc:Fallback>
        </mc:AlternateContent>
      </w:r>
    </w:p>
    <w:p w14:paraId="268B548C">
      <w:pPr>
        <w:spacing w:line="240" w:lineRule="auto"/>
        <w:jc w:val="center"/>
        <w:rPr>
          <w:rFonts w:hint="eastAsia" w:ascii="宋体" w:hAnsi="宋体" w:eastAsia="宋体" w:cs="宋体"/>
          <w:b/>
          <w:sz w:val="52"/>
        </w:rPr>
      </w:pPr>
      <w:r>
        <mc:AlternateContent>
          <mc:Choice Requires="wps">
            <w:drawing>
              <wp:anchor distT="0" distB="0" distL="114300" distR="114300" simplePos="0" relativeHeight="251665408" behindDoc="0" locked="1" layoutInCell="0" allowOverlap="1">
                <wp:simplePos x="0" y="0"/>
                <wp:positionH relativeFrom="margin">
                  <wp:posOffset>-143510</wp:posOffset>
                </wp:positionH>
                <wp:positionV relativeFrom="margin">
                  <wp:posOffset>791210</wp:posOffset>
                </wp:positionV>
                <wp:extent cx="5802630" cy="577850"/>
                <wp:effectExtent l="0" t="0" r="1270" b="6350"/>
                <wp:wrapNone/>
                <wp:docPr id="2"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solidFill>
                          <a:srgbClr val="FFFFFF"/>
                        </a:solidFill>
                        <a:ln>
                          <a:noFill/>
                        </a:ln>
                      </wps:spPr>
                      <wps:txbx>
                        <w:txbxContent>
                          <w:p w14:paraId="01F39F86">
                            <w:pPr>
                              <w:pStyle w:val="25"/>
                              <w:rPr>
                                <w:rFonts w:ascii="黑体" w:hAnsi="黑体" w:eastAsia="黑体" w:cs="黑体"/>
                              </w:rPr>
                            </w:pPr>
                            <w:r>
                              <w:rPr>
                                <w:rFonts w:hint="eastAsia" w:ascii="黑体" w:hAnsi="黑体" w:eastAsia="黑体" w:cs="黑体"/>
                              </w:rPr>
                              <w:t>T/CAFFCI  XXXX—202X</w:t>
                            </w:r>
                          </w:p>
                          <w:p w14:paraId="35CB712A">
                            <w:pPr>
                              <w:pStyle w:val="25"/>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11.3pt;margin-top:62.3pt;height:45.5pt;width:456.9pt;mso-position-horizontal-relative:margin;mso-position-vertical-relative:margin;z-index:251665408;mso-width-relative:page;mso-height-relative:page;" fillcolor="#FFFFFF" filled="t" stroked="f" coordsize="21600,21600" o:allowincell="f" o:gfxdata="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S/tk9kAAAALAQAADwAAAAAAAAABACAAAAAiAAAAZHJz&#10;L2Rvd25yZXYueG1sUEsBAhQAFAAAAAgAh07iQHWC4RPKAQAApgMAAA4AAAAAAAAAAQAgAAAAKAEA&#10;AGRycy9lMm9Eb2MueG1sUEsFBgAAAAAGAAYAWQEAAGQFAAAAAA==&#10;">
                <v:fill on="t" focussize="0,0"/>
                <v:stroke on="f"/>
                <v:imagedata o:title=""/>
                <o:lock v:ext="edit" aspectratio="f"/>
                <v:textbox inset="0mm,0mm,0mm,0mm">
                  <w:txbxContent>
                    <w:p w14:paraId="01F39F86">
                      <w:pPr>
                        <w:pStyle w:val="25"/>
                        <w:rPr>
                          <w:rFonts w:ascii="黑体" w:hAnsi="黑体" w:eastAsia="黑体" w:cs="黑体"/>
                        </w:rPr>
                      </w:pPr>
                      <w:r>
                        <w:rPr>
                          <w:rFonts w:hint="eastAsia" w:ascii="黑体" w:hAnsi="黑体" w:eastAsia="黑体" w:cs="黑体"/>
                        </w:rPr>
                        <w:t>T/CAFFCI  XXXX—202X</w:t>
                      </w:r>
                    </w:p>
                    <w:p w14:paraId="35CB712A">
                      <w:pPr>
                        <w:pStyle w:val="25"/>
                        <w:rPr>
                          <w:rFonts w:ascii="黑体" w:eastAsia="黑体"/>
                          <w:b/>
                        </w:rPr>
                      </w:pP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-27305</wp:posOffset>
                </wp:positionH>
                <wp:positionV relativeFrom="margin">
                  <wp:posOffset>456565</wp:posOffset>
                </wp:positionV>
                <wp:extent cx="5569585" cy="772160"/>
                <wp:effectExtent l="0" t="0" r="5715" b="2540"/>
                <wp:wrapNone/>
                <wp:docPr id="1" name="fmFrame2"/>
                <wp:cNvGraphicFramePr/>
                <a:graphic xmlns:a="http://schemas.openxmlformats.org/drawingml/2006/main">
                  <a:graphicData uri="http://schemas.microsoft.com/office/word/2010/wordprocessingShape">
                    <wps:wsp>
                      <wps:cNvSpPr txBox="1"/>
                      <wps:spPr>
                        <a:xfrm>
                          <a:off x="0" y="0"/>
                          <a:ext cx="5569585" cy="772160"/>
                        </a:xfrm>
                        <a:prstGeom prst="rect">
                          <a:avLst/>
                        </a:prstGeom>
                        <a:solidFill>
                          <a:srgbClr val="FFFFFF"/>
                        </a:solidFill>
                        <a:ln>
                          <a:noFill/>
                        </a:ln>
                      </wps:spPr>
                      <wps:txbx>
                        <w:txbxContent>
                          <w:p w14:paraId="0CD2ED83">
                            <w:pPr>
                              <w:pStyle w:val="24"/>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wps:txbx>
                      <wps:bodyPr wrap="square" lIns="0" tIns="0" rIns="0" bIns="0" upright="1"/>
                    </wps:wsp>
                  </a:graphicData>
                </a:graphic>
              </wp:anchor>
            </w:drawing>
          </mc:Choice>
          <mc:Fallback>
            <w:pict>
              <v:shape id="fmFrame2" o:spid="_x0000_s1026" o:spt="202" type="#_x0000_t202" style="position:absolute;left:0pt;margin-left:-2.15pt;margin-top:35.95pt;height:60.8pt;width:438.55pt;mso-position-horizontal-relative:margin;mso-position-vertical-relative:margin;z-index:251664384;mso-width-relative:page;mso-height-relative:page;" fillcolor="#FFFFFF" filled="t" stroked="f" coordsize="21600,21600" o:gfxdata="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pIqWNkAAAAJAQAADwAAAAAAAAABACAAAAAiAAAAZHJz&#10;L2Rvd25yZXYueG1sUEsBAhQAFAAAAAgAh07iQK0i8mHKAQAApgMAAA4AAAAAAAAAAQAgAAAAKAEA&#10;AGRycy9lMm9Eb2MueG1sUEsFBgAAAAAGAAYAWQEAAGQFAAAAAA==&#10;">
                <v:fill on="t" focussize="0,0"/>
                <v:stroke on="f"/>
                <v:imagedata o:title=""/>
                <o:lock v:ext="edit" aspectratio="f"/>
                <v:textbox inset="0mm,0mm,0mm,0mm">
                  <w:txbxContent>
                    <w:p w14:paraId="0CD2ED83">
                      <w:pPr>
                        <w:pStyle w:val="24"/>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v:textbox>
                <w10:anchorlock/>
              </v:shape>
            </w:pict>
          </mc:Fallback>
        </mc:AlternateContent>
      </w:r>
    </w:p>
    <w:p w14:paraId="536A2DBB">
      <w:pPr>
        <w:spacing w:line="240" w:lineRule="auto"/>
        <w:jc w:val="center"/>
        <w:rPr>
          <w:rFonts w:hint="eastAsia" w:ascii="宋体" w:hAnsi="宋体" w:eastAsia="宋体" w:cs="宋体"/>
          <w:b/>
          <w:sz w:val="52"/>
        </w:rPr>
      </w:pPr>
    </w:p>
    <w:p w14:paraId="61FFF6F2">
      <w:pPr>
        <w:spacing w:line="240" w:lineRule="auto"/>
        <w:jc w:val="center"/>
        <w:rPr>
          <w:rFonts w:hint="eastAsia" w:ascii="宋体" w:hAnsi="宋体" w:eastAsia="宋体" w:cs="宋体"/>
          <w:b/>
          <w:sz w:val="52"/>
        </w:rPr>
      </w:pPr>
      <w:r>
        <w:rPr>
          <w:rFonts w:hint="eastAsia" w:ascii="黑体" w:hAnsi="黑体" w:eastAsia="黑体" w:cs="黑体"/>
          <w:sz w:val="28"/>
        </w:rPr>
        <mc:AlternateContent>
          <mc:Choice Requires="wps">
            <w:drawing>
              <wp:anchor distT="0" distB="0" distL="114300" distR="114300" simplePos="0" relativeHeight="251666432" behindDoc="0" locked="0" layoutInCell="1" allowOverlap="1">
                <wp:simplePos x="0" y="0"/>
                <wp:positionH relativeFrom="column">
                  <wp:posOffset>-251460</wp:posOffset>
                </wp:positionH>
                <wp:positionV relativeFrom="paragraph">
                  <wp:posOffset>328930</wp:posOffset>
                </wp:positionV>
                <wp:extent cx="6120130" cy="0"/>
                <wp:effectExtent l="0" t="4445" r="0" b="5080"/>
                <wp:wrapNone/>
                <wp:docPr id="11"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19.8pt;margin-top:25.9pt;height:0pt;width:481.9pt;z-index:251666432;mso-width-relative:page;mso-height-relative:page;" filled="f" stroked="t" coordsize="21600,21600" o:gfxdata="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GTZzXAAAACQEAAA8AAAAAAAAAAQAgAAAAIgAAAGRycy9kb3ducmV2LnhtbFBLAQIUABQA&#10;AAAIAIdO4kDavg8z8QEAAOcDAAAOAAAAAAAAAAEAIAAAACYBAABkcnMvZTJvRG9jLnhtbFBLBQYA&#10;AAAABgAGAFkBAACJBQAAAAA=&#10;">
                <v:fill on="f" focussize="0,0"/>
                <v:stroke color="#000000" joinstyle="round"/>
                <v:imagedata o:title=""/>
                <o:lock v:ext="edit" aspectratio="f"/>
              </v:line>
            </w:pict>
          </mc:Fallback>
        </mc:AlternateContent>
      </w:r>
    </w:p>
    <w:p w14:paraId="7A748188">
      <w:pPr>
        <w:spacing w:line="240" w:lineRule="auto"/>
        <w:jc w:val="center"/>
        <w:rPr>
          <w:rFonts w:hint="eastAsia" w:ascii="宋体" w:hAnsi="宋体" w:eastAsia="宋体" w:cs="宋体"/>
          <w:b/>
          <w:sz w:val="52"/>
        </w:rPr>
      </w:pPr>
    </w:p>
    <w:p w14:paraId="57F9D506">
      <w:pPr>
        <w:spacing w:line="240" w:lineRule="auto"/>
        <w:jc w:val="center"/>
        <w:rPr>
          <w:rFonts w:hint="eastAsia" w:ascii="宋体" w:hAnsi="宋体" w:eastAsia="宋体" w:cs="宋体"/>
          <w:b/>
          <w:sz w:val="52"/>
        </w:rPr>
      </w:pPr>
      <w:r>
        <mc:AlternateContent>
          <mc:Choice Requires="wps">
            <w:drawing>
              <wp:anchor distT="0" distB="0" distL="114300" distR="114300" simplePos="0" relativeHeight="251667456" behindDoc="0" locked="1" layoutInCell="0" allowOverlap="1">
                <wp:simplePos x="0" y="0"/>
                <wp:positionH relativeFrom="margin">
                  <wp:posOffset>-242570</wp:posOffset>
                </wp:positionH>
                <wp:positionV relativeFrom="margin">
                  <wp:posOffset>2808605</wp:posOffset>
                </wp:positionV>
                <wp:extent cx="5969000" cy="3601720"/>
                <wp:effectExtent l="0" t="0" r="0" b="5080"/>
                <wp:wrapNone/>
                <wp:docPr id="23" name="fmFrame4"/>
                <wp:cNvGraphicFramePr/>
                <a:graphic xmlns:a="http://schemas.openxmlformats.org/drawingml/2006/main">
                  <a:graphicData uri="http://schemas.microsoft.com/office/word/2010/wordprocessingShape">
                    <wps:wsp>
                      <wps:cNvSpPr txBox="1"/>
                      <wps:spPr>
                        <a:xfrm>
                          <a:off x="0" y="0"/>
                          <a:ext cx="5969000" cy="3601720"/>
                        </a:xfrm>
                        <a:prstGeom prst="rect">
                          <a:avLst/>
                        </a:prstGeom>
                        <a:solidFill>
                          <a:srgbClr val="FFFFFF"/>
                        </a:solidFill>
                        <a:ln>
                          <a:noFill/>
                        </a:ln>
                      </wps:spPr>
                      <wps:txbx>
                        <w:txbxContent>
                          <w:p w14:paraId="7DF9B4BA">
                            <w:pPr>
                              <w:jc w:val="center"/>
                              <w:rPr>
                                <w:rFonts w:hint="eastAsia" w:ascii="黑体" w:eastAsia="黑体"/>
                                <w:bCs/>
                                <w:sz w:val="52"/>
                                <w:szCs w:val="28"/>
                                <w:lang w:val="en-US" w:eastAsia="zh-CN"/>
                              </w:rPr>
                            </w:pPr>
                            <w:r>
                              <w:rPr>
                                <w:rFonts w:hint="eastAsia" w:ascii="黑体" w:eastAsia="黑体"/>
                                <w:bCs/>
                                <w:sz w:val="52"/>
                                <w:szCs w:val="28"/>
                              </w:rPr>
                              <w:t xml:space="preserve">化妆品用原料 </w:t>
                            </w:r>
                            <w:r>
                              <w:rPr>
                                <w:rFonts w:hint="eastAsia" w:ascii="黑体" w:eastAsia="黑体"/>
                                <w:bCs/>
                                <w:sz w:val="52"/>
                                <w:szCs w:val="28"/>
                                <w:lang w:val="en-US" w:eastAsia="zh-CN"/>
                              </w:rPr>
                              <w:t>伊利水云母</w:t>
                            </w:r>
                          </w:p>
                          <w:p w14:paraId="2322C2A1">
                            <w:pPr>
                              <w:pStyle w:val="5"/>
                              <w:jc w:val="center"/>
                              <w:rPr>
                                <w:rFonts w:hint="default" w:eastAsia="黑体" w:asciiTheme="minorEastAsia" w:hAnsiTheme="minorEastAsia"/>
                                <w:sz w:val="28"/>
                                <w:lang w:val="en-US" w:eastAsia="zh-CN"/>
                              </w:rPr>
                            </w:pPr>
                            <w:r>
                              <w:rPr>
                                <w:rFonts w:hint="eastAsia" w:ascii="黑体" w:hAnsi="黑体" w:eastAsia="黑体" w:cs="黑体"/>
                                <w:sz w:val="28"/>
                              </w:rPr>
                              <w:t xml:space="preserve">Cosmetic ingredients - </w:t>
                            </w:r>
                            <w:r>
                              <w:rPr>
                                <w:rFonts w:hint="eastAsia" w:ascii="黑体" w:hAnsi="黑体" w:eastAsia="黑体" w:cs="黑体"/>
                                <w:sz w:val="28"/>
                                <w:lang w:val="en-US" w:eastAsia="zh-CN"/>
                              </w:rPr>
                              <w:t>Illite</w:t>
                            </w:r>
                          </w:p>
                          <w:p w14:paraId="0940A037">
                            <w:pPr>
                              <w:pStyle w:val="26"/>
                              <w:rPr>
                                <w:sz w:val="24"/>
                                <w:szCs w:val="24"/>
                              </w:rPr>
                            </w:pPr>
                            <w:r>
                              <w:rPr>
                                <w:rFonts w:hint="eastAsia"/>
                                <w:sz w:val="24"/>
                                <w:szCs w:val="24"/>
                              </w:rPr>
                              <w:t>（征求意见稿）</w:t>
                            </w:r>
                          </w:p>
                          <w:p w14:paraId="045F8698">
                            <w:pPr>
                              <w:pStyle w:val="26"/>
                              <w:rPr>
                                <w:sz w:val="24"/>
                                <w:szCs w:val="24"/>
                              </w:rPr>
                            </w:pPr>
                          </w:p>
                          <w:p w14:paraId="72845B9A">
                            <w:pPr>
                              <w:pStyle w:val="26"/>
                              <w:rPr>
                                <w:sz w:val="24"/>
                                <w:szCs w:val="24"/>
                              </w:rPr>
                            </w:pPr>
                          </w:p>
                          <w:p w14:paraId="49F96862">
                            <w:pPr>
                              <w:pStyle w:val="26"/>
                              <w:rPr>
                                <w:sz w:val="24"/>
                                <w:szCs w:val="24"/>
                              </w:rPr>
                            </w:pPr>
                            <w:r>
                              <w:rPr>
                                <w:rFonts w:hint="eastAsia"/>
                                <w:sz w:val="24"/>
                                <w:szCs w:val="24"/>
                              </w:rPr>
                              <w:t>在提交反馈意见时，请将您知道的相关专利连同支持性文件一并附上。</w:t>
                            </w:r>
                          </w:p>
                        </w:txbxContent>
                      </wps:txbx>
                      <wps:bodyPr wrap="square" lIns="0" tIns="0" rIns="0" bIns="0" upright="1"/>
                    </wps:wsp>
                  </a:graphicData>
                </a:graphic>
              </wp:anchor>
            </w:drawing>
          </mc:Choice>
          <mc:Fallback>
            <w:pict>
              <v:shape id="fmFrame4" o:spid="_x0000_s1026" o:spt="202" type="#_x0000_t202" style="position:absolute;left:0pt;margin-left:-19.1pt;margin-top:221.15pt;height:283.6pt;width:470pt;mso-position-horizontal-relative:margin;mso-position-vertical-relative:margin;z-index:251667456;mso-width-relative:page;mso-height-relative:page;" fillcolor="#FFFFFF" filled="t" stroked="f" coordsize="21600,21600" o:allowincell="f" o:gfxdata="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s97O9oAAAAMAQAADwAAAAAAAAABACAAAAAiAAAA&#10;ZHJzL2Rvd25yZXYueG1sUEsBAhQAFAAAAAgAh07iQDkiLZvMAQAAqAMAAA4AAAAAAAAAAQAgAAAA&#10;KQEAAGRycy9lMm9Eb2MueG1sUEsFBgAAAAAGAAYAWQEAAGcFAAAAAA==&#10;">
                <v:fill on="t" focussize="0,0"/>
                <v:stroke on="f"/>
                <v:imagedata o:title=""/>
                <o:lock v:ext="edit" aspectratio="f"/>
                <v:textbox inset="0mm,0mm,0mm,0mm">
                  <w:txbxContent>
                    <w:p w14:paraId="7DF9B4BA">
                      <w:pPr>
                        <w:jc w:val="center"/>
                        <w:rPr>
                          <w:rFonts w:hint="eastAsia" w:ascii="黑体" w:eastAsia="黑体"/>
                          <w:bCs/>
                          <w:sz w:val="52"/>
                          <w:szCs w:val="28"/>
                          <w:lang w:val="en-US" w:eastAsia="zh-CN"/>
                        </w:rPr>
                      </w:pPr>
                      <w:r>
                        <w:rPr>
                          <w:rFonts w:hint="eastAsia" w:ascii="黑体" w:eastAsia="黑体"/>
                          <w:bCs/>
                          <w:sz w:val="52"/>
                          <w:szCs w:val="28"/>
                        </w:rPr>
                        <w:t xml:space="preserve">化妆品用原料 </w:t>
                      </w:r>
                      <w:r>
                        <w:rPr>
                          <w:rFonts w:hint="eastAsia" w:ascii="黑体" w:eastAsia="黑体"/>
                          <w:bCs/>
                          <w:sz w:val="52"/>
                          <w:szCs w:val="28"/>
                          <w:lang w:val="en-US" w:eastAsia="zh-CN"/>
                        </w:rPr>
                        <w:t>伊利水云母</w:t>
                      </w:r>
                    </w:p>
                    <w:p w14:paraId="2322C2A1">
                      <w:pPr>
                        <w:pStyle w:val="5"/>
                        <w:jc w:val="center"/>
                        <w:rPr>
                          <w:rFonts w:hint="default" w:eastAsia="黑体" w:asciiTheme="minorEastAsia" w:hAnsiTheme="minorEastAsia"/>
                          <w:sz w:val="28"/>
                          <w:lang w:val="en-US" w:eastAsia="zh-CN"/>
                        </w:rPr>
                      </w:pPr>
                      <w:r>
                        <w:rPr>
                          <w:rFonts w:hint="eastAsia" w:ascii="黑体" w:hAnsi="黑体" w:eastAsia="黑体" w:cs="黑体"/>
                          <w:sz w:val="28"/>
                        </w:rPr>
                        <w:t xml:space="preserve">Cosmetic ingredients - </w:t>
                      </w:r>
                      <w:r>
                        <w:rPr>
                          <w:rFonts w:hint="eastAsia" w:ascii="黑体" w:hAnsi="黑体" w:eastAsia="黑体" w:cs="黑体"/>
                          <w:sz w:val="28"/>
                          <w:lang w:val="en-US" w:eastAsia="zh-CN"/>
                        </w:rPr>
                        <w:t>Illite</w:t>
                      </w:r>
                    </w:p>
                    <w:p w14:paraId="0940A037">
                      <w:pPr>
                        <w:pStyle w:val="26"/>
                        <w:rPr>
                          <w:sz w:val="24"/>
                          <w:szCs w:val="24"/>
                        </w:rPr>
                      </w:pPr>
                      <w:r>
                        <w:rPr>
                          <w:rFonts w:hint="eastAsia"/>
                          <w:sz w:val="24"/>
                          <w:szCs w:val="24"/>
                        </w:rPr>
                        <w:t>（征求意见稿）</w:t>
                      </w:r>
                    </w:p>
                    <w:p w14:paraId="045F8698">
                      <w:pPr>
                        <w:pStyle w:val="26"/>
                        <w:rPr>
                          <w:sz w:val="24"/>
                          <w:szCs w:val="24"/>
                        </w:rPr>
                      </w:pPr>
                    </w:p>
                    <w:p w14:paraId="72845B9A">
                      <w:pPr>
                        <w:pStyle w:val="26"/>
                        <w:rPr>
                          <w:sz w:val="24"/>
                          <w:szCs w:val="24"/>
                        </w:rPr>
                      </w:pPr>
                    </w:p>
                    <w:p w14:paraId="49F96862">
                      <w:pPr>
                        <w:pStyle w:val="26"/>
                        <w:rPr>
                          <w:sz w:val="24"/>
                          <w:szCs w:val="24"/>
                        </w:rPr>
                      </w:pPr>
                      <w:r>
                        <w:rPr>
                          <w:rFonts w:hint="eastAsia"/>
                          <w:sz w:val="24"/>
                          <w:szCs w:val="24"/>
                        </w:rPr>
                        <w:t>在提交反馈意见时，请将您知道的相关专利连同支持性文件一并附上。</w:t>
                      </w:r>
                    </w:p>
                  </w:txbxContent>
                </v:textbox>
                <w10:anchorlock/>
              </v:shape>
            </w:pict>
          </mc:Fallback>
        </mc:AlternateContent>
      </w:r>
    </w:p>
    <w:p w14:paraId="26D03D78">
      <w:pPr>
        <w:spacing w:before="320" w:after="120" w:line="288" w:lineRule="auto"/>
        <w:jc w:val="left"/>
        <w:outlineLvl w:val="1"/>
        <w:rPr>
          <w:rFonts w:hint="eastAsia" w:ascii="宋体" w:hAnsi="宋体" w:eastAsia="宋体" w:cs="宋体"/>
          <w:b/>
          <w:sz w:val="32"/>
        </w:rPr>
      </w:pPr>
    </w:p>
    <w:p w14:paraId="4878669C">
      <w:pPr>
        <w:spacing w:before="320" w:after="120" w:line="288" w:lineRule="auto"/>
        <w:jc w:val="left"/>
        <w:outlineLvl w:val="1"/>
        <w:rPr>
          <w:rFonts w:hint="eastAsia" w:ascii="宋体" w:hAnsi="宋体" w:eastAsia="宋体" w:cs="宋体"/>
          <w:b/>
          <w:sz w:val="32"/>
        </w:rPr>
      </w:pPr>
    </w:p>
    <w:p w14:paraId="5399FC22">
      <w:pPr>
        <w:spacing w:before="320" w:after="120" w:line="288" w:lineRule="auto"/>
        <w:jc w:val="left"/>
        <w:outlineLvl w:val="1"/>
        <w:rPr>
          <w:rFonts w:hint="eastAsia" w:ascii="宋体" w:hAnsi="宋体" w:eastAsia="宋体" w:cs="宋体"/>
          <w:b/>
          <w:sz w:val="32"/>
        </w:rPr>
      </w:pPr>
    </w:p>
    <w:p w14:paraId="4E4ED50D">
      <w:pPr>
        <w:spacing w:before="320" w:after="120" w:line="288" w:lineRule="auto"/>
        <w:jc w:val="left"/>
        <w:outlineLvl w:val="1"/>
        <w:rPr>
          <w:rFonts w:hint="eastAsia" w:ascii="宋体" w:hAnsi="宋体" w:eastAsia="宋体" w:cs="宋体"/>
          <w:b/>
          <w:sz w:val="32"/>
        </w:rPr>
      </w:pPr>
    </w:p>
    <w:p w14:paraId="539A7BE7">
      <w:pPr>
        <w:spacing w:before="320" w:after="120" w:line="288" w:lineRule="auto"/>
        <w:jc w:val="left"/>
        <w:outlineLvl w:val="1"/>
        <w:rPr>
          <w:rFonts w:hint="eastAsia" w:ascii="宋体" w:hAnsi="宋体" w:eastAsia="宋体" w:cs="宋体"/>
          <w:b/>
          <w:sz w:val="32"/>
        </w:rPr>
      </w:pPr>
    </w:p>
    <w:p w14:paraId="74B7BB0B">
      <w:pPr>
        <w:spacing w:before="320" w:after="120" w:line="288" w:lineRule="auto"/>
        <w:jc w:val="left"/>
        <w:outlineLvl w:val="1"/>
        <w:rPr>
          <w:rFonts w:hint="eastAsia" w:ascii="宋体" w:hAnsi="宋体" w:eastAsia="宋体" w:cs="宋体"/>
          <w:b/>
          <w:sz w:val="32"/>
        </w:rPr>
      </w:pPr>
    </w:p>
    <w:p w14:paraId="2E510C15">
      <w:pPr>
        <w:spacing w:before="320" w:after="120" w:line="288" w:lineRule="auto"/>
        <w:jc w:val="left"/>
        <w:outlineLvl w:val="1"/>
        <w:rPr>
          <w:rFonts w:hint="eastAsia" w:ascii="宋体" w:hAnsi="宋体" w:eastAsia="宋体" w:cs="宋体"/>
          <w:b/>
          <w:sz w:val="32"/>
        </w:rPr>
      </w:pPr>
    </w:p>
    <w:p w14:paraId="309ED075">
      <w:pPr>
        <w:spacing w:before="320" w:after="120" w:line="288" w:lineRule="auto"/>
        <w:jc w:val="left"/>
        <w:outlineLvl w:val="1"/>
        <w:rPr>
          <w:rFonts w:hint="eastAsia" w:ascii="宋体" w:hAnsi="宋体" w:eastAsia="宋体" w:cs="宋体"/>
          <w:b/>
          <w:sz w:val="32"/>
        </w:rPr>
      </w:pPr>
    </w:p>
    <w:p w14:paraId="21B51796">
      <w:pPr>
        <w:spacing w:before="320" w:after="120" w:line="288" w:lineRule="auto"/>
        <w:jc w:val="left"/>
        <w:outlineLvl w:val="1"/>
        <w:rPr>
          <w:rFonts w:hint="eastAsia" w:ascii="宋体" w:hAnsi="宋体" w:eastAsia="宋体" w:cs="宋体"/>
          <w:b/>
          <w:sz w:val="32"/>
        </w:rPr>
      </w:pPr>
    </w:p>
    <w:p w14:paraId="1EB0C5FB">
      <w:pPr>
        <w:spacing w:before="320" w:after="120" w:line="288" w:lineRule="auto"/>
        <w:jc w:val="left"/>
        <w:outlineLvl w:val="1"/>
        <w:rPr>
          <w:rFonts w:hint="eastAsia" w:ascii="宋体" w:hAnsi="宋体" w:eastAsia="宋体" w:cs="宋体"/>
          <w:b/>
          <w:sz w:val="32"/>
        </w:rPr>
      </w:pPr>
    </w:p>
    <w:p w14:paraId="4E946C23">
      <w:pPr>
        <w:spacing w:before="320" w:after="120" w:line="288" w:lineRule="auto"/>
        <w:jc w:val="left"/>
        <w:outlineLvl w:val="1"/>
        <w:rPr>
          <w:rFonts w:hint="eastAsia" w:ascii="宋体" w:hAnsi="宋体" w:eastAsia="宋体" w:cs="宋体"/>
          <w:b/>
          <w:sz w:val="32"/>
        </w:rPr>
      </w:pPr>
      <w:r>
        <mc:AlternateContent>
          <mc:Choice Requires="wps">
            <w:drawing>
              <wp:anchor distT="0" distB="0" distL="114300" distR="114300" simplePos="0" relativeHeight="251673600" behindDoc="0" locked="1" layoutInCell="1" allowOverlap="1">
                <wp:simplePos x="0" y="0"/>
                <wp:positionH relativeFrom="column">
                  <wp:posOffset>-292735</wp:posOffset>
                </wp:positionH>
                <wp:positionV relativeFrom="page">
                  <wp:posOffset>9051925</wp:posOffset>
                </wp:positionV>
                <wp:extent cx="6120130" cy="0"/>
                <wp:effectExtent l="0" t="4445" r="0" b="5080"/>
                <wp:wrapNone/>
                <wp:docPr id="12"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05pt;margin-top:712.75pt;height:0pt;width:481.9pt;mso-position-vertical-relative:page;z-index:251673600;mso-width-relative:page;mso-height-relative:page;" filled="f" stroked="t" coordsize="21600,21600" o:gfxdata="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WWcP2AAAAA0BAAAPAAAAAAAAAAEAIAAAACIAAABkcnMvZG93bnJldi54bWxQSwECFAAU&#10;AAAACACHTuJAV5nVXfEBAADnAwAADgAAAAAAAAABACAAAAAnAQAAZHJzL2Uyb0RvYy54bWxQSwUG&#10;AAAAAAYABgBZAQAAigU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334645</wp:posOffset>
                </wp:positionH>
                <wp:positionV relativeFrom="margin">
                  <wp:posOffset>8213090</wp:posOffset>
                </wp:positionV>
                <wp:extent cx="4371340" cy="377190"/>
                <wp:effectExtent l="0" t="0" r="10160" b="3810"/>
                <wp:wrapNone/>
                <wp:docPr id="6" name="fmFrame7"/>
                <wp:cNvGraphicFramePr/>
                <a:graphic xmlns:a="http://schemas.openxmlformats.org/drawingml/2006/main">
                  <a:graphicData uri="http://schemas.microsoft.com/office/word/2010/wordprocessingShape">
                    <wps:wsp>
                      <wps:cNvSpPr txBox="1"/>
                      <wps:spPr>
                        <a:xfrm>
                          <a:off x="0" y="0"/>
                          <a:ext cx="4371340" cy="377190"/>
                        </a:xfrm>
                        <a:prstGeom prst="rect">
                          <a:avLst/>
                        </a:prstGeom>
                        <a:solidFill>
                          <a:srgbClr val="FFFFFF"/>
                        </a:solidFill>
                        <a:ln>
                          <a:noFill/>
                        </a:ln>
                      </wps:spPr>
                      <wps:txbx>
                        <w:txbxContent>
                          <w:p w14:paraId="1399CE29">
                            <w:pPr>
                              <w:pStyle w:val="29"/>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6B8AEC26">
                            <w:pPr>
                              <w:rPr>
                                <w:szCs w:val="32"/>
                              </w:rPr>
                            </w:pPr>
                          </w:p>
                        </w:txbxContent>
                      </wps:txbx>
                      <wps:bodyPr wrap="square" lIns="0" tIns="0" rIns="0" bIns="0" upright="1"/>
                    </wps:wsp>
                  </a:graphicData>
                </a:graphic>
              </wp:anchor>
            </w:drawing>
          </mc:Choice>
          <mc:Fallback>
            <w:pict>
              <v:shape id="fmFrame7" o:spid="_x0000_s1026" o:spt="202" type="#_x0000_t202" style="position:absolute;left:0pt;margin-left:26.35pt;margin-top:646.7pt;height:29.7pt;width:344.2pt;mso-position-horizontal-relative:margin;mso-position-vertical-relative:margin;z-index:251671552;mso-width-relative:page;mso-height-relative:page;" fillcolor="#FFFFFF" filled="t" stroked="f" coordsize="21600,21600" o:gfxdata="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m+1jaAAAADAEAAA8AAAAAAAAAAQAgAAAAIgAAAGRy&#10;cy9kb3ducmV2LnhtbFBLAQIUABQAAAAIAIdO4kDnUfkwygEAAKYDAAAOAAAAAAAAAAEAIAAAACkB&#10;AABkcnMvZTJvRG9jLnhtbFBLBQYAAAAABgAGAFkBAABlBQAAAAA=&#10;">
                <v:fill on="t" focussize="0,0"/>
                <v:stroke on="f"/>
                <v:imagedata o:title=""/>
                <o:lock v:ext="edit" aspectratio="f"/>
                <v:textbox inset="0mm,0mm,0mm,0mm">
                  <w:txbxContent>
                    <w:p w14:paraId="1399CE29">
                      <w:pPr>
                        <w:pStyle w:val="29"/>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6B8AEC26">
                      <w:pPr>
                        <w:rPr>
                          <w:szCs w:val="32"/>
                        </w:rPr>
                      </w:pPr>
                    </w:p>
                  </w:txbxContent>
                </v:textbox>
                <w10:anchorlock/>
              </v:shape>
            </w:pict>
          </mc:Fallback>
        </mc:AlternateContent>
      </w:r>
      <w:r>
        <mc:AlternateContent>
          <mc:Choice Requires="wps">
            <w:drawing>
              <wp:anchor distT="0" distB="0" distL="114300" distR="114300" simplePos="0" relativeHeight="251670528" behindDoc="0" locked="0" layoutInCell="0" allowOverlap="1">
                <wp:simplePos x="0" y="0"/>
                <wp:positionH relativeFrom="column">
                  <wp:posOffset>-242570</wp:posOffset>
                </wp:positionH>
                <wp:positionV relativeFrom="paragraph">
                  <wp:posOffset>705485</wp:posOffset>
                </wp:positionV>
                <wp:extent cx="6121400" cy="0"/>
                <wp:effectExtent l="0" t="6350" r="0" b="6350"/>
                <wp:wrapNone/>
                <wp:docPr id="8" name="直线 3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3" o:spid="_x0000_s1026" o:spt="20" style="position:absolute;left:0pt;margin-left:-19.1pt;margin-top:55.55pt;height:0pt;width:482pt;z-index:251670528;mso-width-relative:page;mso-height-relative:page;" filled="f" stroked="t" coordsize="21600,21600" o:allowincell="f" o:gfxdata="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L9c11wAAAAsBAAAP&#10;AAAAAAAAAAEAIAAAACIAAABkcnMvZG93bnJldi54bWxQSwECFAAUAAAACACHTuJAkV41XeABAADR&#10;AwAADgAAAAAAAAABACAAAAAmAQAAZHJzL2Uyb0RvYy54bWxQSwUGAAAAAAYABgBZAQAAeA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9504" behindDoc="0" locked="1" layoutInCell="0" allowOverlap="1">
                <wp:simplePos x="0" y="0"/>
                <wp:positionH relativeFrom="margin">
                  <wp:posOffset>3741420</wp:posOffset>
                </wp:positionH>
                <wp:positionV relativeFrom="margin">
                  <wp:posOffset>7825105</wp:posOffset>
                </wp:positionV>
                <wp:extent cx="2019300" cy="347980"/>
                <wp:effectExtent l="0" t="0" r="0" b="7620"/>
                <wp:wrapNone/>
                <wp:docPr id="5" name="fmFrame6"/>
                <wp:cNvGraphicFramePr/>
                <a:graphic xmlns:a="http://schemas.openxmlformats.org/drawingml/2006/main">
                  <a:graphicData uri="http://schemas.microsoft.com/office/word/2010/wordprocessingShape">
                    <wps:wsp>
                      <wps:cNvSpPr txBox="1"/>
                      <wps:spPr>
                        <a:xfrm>
                          <a:off x="0" y="0"/>
                          <a:ext cx="2019300" cy="347980"/>
                        </a:xfrm>
                        <a:prstGeom prst="rect">
                          <a:avLst/>
                        </a:prstGeom>
                        <a:solidFill>
                          <a:srgbClr val="FFFFFF"/>
                        </a:solidFill>
                        <a:ln>
                          <a:noFill/>
                        </a:ln>
                      </wps:spPr>
                      <wps:txbx>
                        <w:txbxContent>
                          <w:p w14:paraId="62EAE92D">
                            <w:pPr>
                              <w:pStyle w:val="27"/>
                            </w:pPr>
                            <w:r>
                              <w:rPr>
                                <w:rFonts w:hint="eastAsia" w:ascii="黑体" w:hAnsi="黑体" w:cs="黑体"/>
                              </w:rPr>
                              <w:t>202×-××-××实施</w:t>
                            </w:r>
                          </w:p>
                          <w:p w14:paraId="71BBABBA">
                            <w:pPr>
                              <w:rPr>
                                <w:rFonts w:eastAsia="黑体"/>
                                <w:sz w:val="28"/>
                                <w:szCs w:val="28"/>
                              </w:rPr>
                            </w:pPr>
                          </w:p>
                          <w:p w14:paraId="60DC4037"/>
                        </w:txbxContent>
                      </wps:txbx>
                      <wps:bodyPr wrap="square" lIns="0" tIns="0" rIns="0" bIns="0" upright="1"/>
                    </wps:wsp>
                  </a:graphicData>
                </a:graphic>
              </wp:anchor>
            </w:drawing>
          </mc:Choice>
          <mc:Fallback>
            <w:pict>
              <v:shape id="fmFrame6" o:spid="_x0000_s1026" o:spt="202" type="#_x0000_t202" style="position:absolute;left:0pt;margin-left:294.6pt;margin-top:616.15pt;height:27.4pt;width:159pt;mso-position-horizontal-relative:margin;mso-position-vertical-relative:margin;z-index:251669504;mso-width-relative:page;mso-height-relative:page;" fillcolor="#FFFFFF" filled="t" stroked="f" coordsize="21600,21600" o:allowincell="f" o:gfxdata="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uqCwNoAAAANAQAADwAAAAAAAAABACAAAAAiAAAAZHJz&#10;L2Rvd25yZXYueG1sUEsBAhQAFAAAAAgAh07iQEIrzn3JAQAApgMAAA4AAAAAAAAAAQAgAAAAKQEA&#10;AGRycy9lMm9Eb2MueG1sUEsFBgAAAAAGAAYAWQEAAGQFAAAAAA==&#10;">
                <v:fill on="t" focussize="0,0"/>
                <v:stroke on="f"/>
                <v:imagedata o:title=""/>
                <o:lock v:ext="edit" aspectratio="f"/>
                <v:textbox inset="0mm,0mm,0mm,0mm">
                  <w:txbxContent>
                    <w:p w14:paraId="62EAE92D">
                      <w:pPr>
                        <w:pStyle w:val="27"/>
                      </w:pPr>
                      <w:r>
                        <w:rPr>
                          <w:rFonts w:hint="eastAsia" w:ascii="黑体" w:hAnsi="黑体" w:cs="黑体"/>
                        </w:rPr>
                        <w:t>202×-××-××实施</w:t>
                      </w:r>
                    </w:p>
                    <w:p w14:paraId="71BBABBA">
                      <w:pPr>
                        <w:rPr>
                          <w:rFonts w:eastAsia="黑体"/>
                          <w:sz w:val="28"/>
                          <w:szCs w:val="28"/>
                        </w:rPr>
                      </w:pPr>
                    </w:p>
                    <w:p w14:paraId="60DC4037"/>
                  </w:txbxContent>
                </v:textbox>
                <w10:anchorlock/>
              </v:shape>
            </w:pict>
          </mc:Fallback>
        </mc:AlternateContent>
      </w:r>
      <w:r>
        <mc:AlternateContent>
          <mc:Choice Requires="wps">
            <w:drawing>
              <wp:anchor distT="0" distB="0" distL="114300" distR="114300" simplePos="0" relativeHeight="251668480" behindDoc="0" locked="1" layoutInCell="0" allowOverlap="1">
                <wp:simplePos x="0" y="0"/>
                <wp:positionH relativeFrom="margin">
                  <wp:posOffset>-242570</wp:posOffset>
                </wp:positionH>
                <wp:positionV relativeFrom="margin">
                  <wp:posOffset>7825105</wp:posOffset>
                </wp:positionV>
                <wp:extent cx="2019300" cy="312420"/>
                <wp:effectExtent l="0" t="0" r="0" b="5080"/>
                <wp:wrapNone/>
                <wp:docPr id="2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802F651">
                            <w:pPr>
                              <w:pStyle w:val="27"/>
                              <w:jc w:val="left"/>
                              <w:rPr>
                                <w:rFonts w:ascii="黑体" w:hAnsi="黑体" w:cs="黑体"/>
                              </w:rPr>
                            </w:pPr>
                            <w:r>
                              <w:rPr>
                                <w:rFonts w:hint="eastAsia" w:ascii="黑体" w:hAnsi="黑体" w:cs="黑体"/>
                              </w:rPr>
                              <w:t>202×-××-××发布</w:t>
                            </w:r>
                          </w:p>
                          <w:p w14:paraId="65CF08DA">
                            <w:pPr>
                              <w:rPr>
                                <w:sz w:val="28"/>
                                <w:szCs w:val="28"/>
                              </w:rPr>
                            </w:pPr>
                          </w:p>
                          <w:p w14:paraId="758CCA0C">
                            <w:pPr>
                              <w:rPr>
                                <w:rFonts w:ascii="黑体" w:eastAsia="黑体"/>
                                <w:sz w:val="28"/>
                                <w:szCs w:val="28"/>
                              </w:rPr>
                            </w:pPr>
                          </w:p>
                        </w:txbxContent>
                      </wps:txbx>
                      <wps:bodyPr wrap="square" lIns="0" tIns="0" rIns="0" bIns="0" upright="1"/>
                    </wps:wsp>
                  </a:graphicData>
                </a:graphic>
              </wp:anchor>
            </w:drawing>
          </mc:Choice>
          <mc:Fallback>
            <w:pict>
              <v:shape id="fmFrame5" o:spid="_x0000_s1026" o:spt="202" type="#_x0000_t202" style="position:absolute;left:0pt;margin-left:-19.1pt;margin-top:616.15pt;height:24.6pt;width:159pt;mso-position-horizontal-relative:margin;mso-position-vertical-relative:margin;z-index:251668480;mso-width-relative:page;mso-height-relative:page;" fillcolor="#FFFFFF" filled="t" stroked="f" coordsize="21600,21600" o:allowincell="f" o:gfxdata="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k8KbbAAAADQEAAA8AAAAAAAAAAQAgAAAAIgAAAGRy&#10;cy9kb3ducmV2LnhtbFBLAQIUABQAAAAIAIdO4kCwpasJyQEAAKcDAAAOAAAAAAAAAAEAIAAAACoB&#10;AABkcnMvZTJvRG9jLnhtbFBLBQYAAAAABgAGAFkBAABlBQAAAAA=&#10;">
                <v:fill on="t" focussize="0,0"/>
                <v:stroke on="f"/>
                <v:imagedata o:title=""/>
                <o:lock v:ext="edit" aspectratio="f"/>
                <v:textbox inset="0mm,0mm,0mm,0mm">
                  <w:txbxContent>
                    <w:p w14:paraId="0802F651">
                      <w:pPr>
                        <w:pStyle w:val="27"/>
                        <w:jc w:val="left"/>
                        <w:rPr>
                          <w:rFonts w:ascii="黑体" w:hAnsi="黑体" w:cs="黑体"/>
                        </w:rPr>
                      </w:pPr>
                      <w:r>
                        <w:rPr>
                          <w:rFonts w:hint="eastAsia" w:ascii="黑体" w:hAnsi="黑体" w:cs="黑体"/>
                        </w:rPr>
                        <w:t>202×-××-××发布</w:t>
                      </w:r>
                    </w:p>
                    <w:p w14:paraId="65CF08DA">
                      <w:pPr>
                        <w:rPr>
                          <w:sz w:val="28"/>
                          <w:szCs w:val="28"/>
                        </w:rPr>
                      </w:pPr>
                    </w:p>
                    <w:p w14:paraId="758CCA0C">
                      <w:pPr>
                        <w:rPr>
                          <w:rFonts w:ascii="黑体" w:eastAsia="黑体"/>
                          <w:sz w:val="28"/>
                          <w:szCs w:val="28"/>
                        </w:rPr>
                      </w:pPr>
                    </w:p>
                  </w:txbxContent>
                </v:textbox>
                <w10:anchorlock/>
              </v:shape>
            </w:pict>
          </mc:Fallback>
        </mc:AlternateContent>
      </w:r>
    </w:p>
    <w:p w14:paraId="25EABC6B">
      <w:pPr>
        <w:spacing w:before="320" w:after="120" w:line="288" w:lineRule="auto"/>
        <w:jc w:val="left"/>
        <w:outlineLvl w:val="1"/>
        <w:rPr>
          <w:rFonts w:hint="eastAsia" w:ascii="宋体" w:hAnsi="宋体" w:eastAsia="宋体" w:cs="宋体"/>
          <w:b/>
          <w:sz w:val="32"/>
        </w:rPr>
      </w:pPr>
      <w:r>
        <mc:AlternateContent>
          <mc:Choice Requires="wps">
            <w:drawing>
              <wp:anchor distT="0" distB="0" distL="114300" distR="114300" simplePos="0" relativeHeight="251672576" behindDoc="0" locked="0" layoutInCell="1" allowOverlap="1">
                <wp:simplePos x="0" y="0"/>
                <wp:positionH relativeFrom="column">
                  <wp:posOffset>4237355</wp:posOffset>
                </wp:positionH>
                <wp:positionV relativeFrom="paragraph">
                  <wp:posOffset>7620</wp:posOffset>
                </wp:positionV>
                <wp:extent cx="666750" cy="39624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2879EED9">
                            <w:pPr>
                              <w:rPr>
                                <w:rFonts w:ascii="黑体" w:eastAsia="黑体"/>
                                <w:sz w:val="30"/>
                                <w:szCs w:val="30"/>
                              </w:rPr>
                            </w:pPr>
                            <w:r>
                              <w:rPr>
                                <w:rFonts w:hint="eastAsia" w:ascii="黑体" w:eastAsia="黑体"/>
                                <w:sz w:val="30"/>
                                <w:szCs w:val="30"/>
                              </w:rPr>
                              <w:t>发布</w:t>
                            </w:r>
                          </w:p>
                        </w:txbxContent>
                      </wps:txbx>
                      <wps:bodyPr wrap="square" upright="1"/>
                    </wps:wsp>
                  </a:graphicData>
                </a:graphic>
              </wp:anchor>
            </w:drawing>
          </mc:Choice>
          <mc:Fallback>
            <w:pict>
              <v:shape id="文本框 34" o:spid="_x0000_s1026" o:spt="202" type="#_x0000_t202" style="position:absolute;left:0pt;margin-left:333.65pt;margin-top:0.6pt;height:31.2pt;width:52.5pt;z-index:251672576;mso-width-relative:page;mso-height-relative:page;" filled="f" stroked="f" coordsize="21600,21600" o:gfxdata="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rXnzNUAAAAIAQAADwAAAAAAAAABACAAAAAiAAAAZHJzL2Rvd25yZXYueG1sUEsBAhQAFAAA&#10;AAgAh07iQBKiAB+5AQAAXAMAAA4AAAAAAAAAAQAgAAAAJAEAAGRycy9lMm9Eb2MueG1sUEsFBgAA&#10;AAAGAAYAWQEAAE8FAAAAAA==&#10;">
                <v:fill on="f" focussize="0,0"/>
                <v:stroke on="f"/>
                <v:imagedata o:title=""/>
                <o:lock v:ext="edit" aspectratio="f"/>
                <v:textbox>
                  <w:txbxContent>
                    <w:p w14:paraId="2879EED9">
                      <w:pPr>
                        <w:rPr>
                          <w:rFonts w:ascii="黑体" w:eastAsia="黑体"/>
                          <w:sz w:val="30"/>
                          <w:szCs w:val="30"/>
                        </w:rPr>
                      </w:pPr>
                      <w:r>
                        <w:rPr>
                          <w:rFonts w:hint="eastAsia" w:ascii="黑体" w:eastAsia="黑体"/>
                          <w:sz w:val="30"/>
                          <w:szCs w:val="30"/>
                        </w:rPr>
                        <w:t>发布</w:t>
                      </w:r>
                    </w:p>
                  </w:txbxContent>
                </v:textbox>
              </v:shape>
            </w:pict>
          </mc:Fallback>
        </mc:AlternateContent>
      </w:r>
    </w:p>
    <w:p w14:paraId="2BC3E528">
      <w:pPr>
        <w:spacing w:before="320" w:after="120" w:line="360" w:lineRule="auto"/>
        <w:jc w:val="center"/>
        <w:outlineLvl w:val="1"/>
        <w:rPr>
          <w:rFonts w:hint="eastAsia" w:ascii="黑体" w:hAnsi="黑体" w:eastAsia="黑体" w:cs="黑体"/>
          <w:sz w:val="32"/>
          <w:szCs w:val="32"/>
          <w:lang w:val="en-US" w:eastAsia="zh-CN"/>
        </w:rPr>
        <w:sectPr>
          <w:headerReference r:id="rId5" w:type="first"/>
          <w:headerReference r:id="rId3" w:type="default"/>
          <w:headerReference r:id="rId4" w:type="even"/>
          <w:pgSz w:w="11905" w:h="16840" w:orient="landscape"/>
          <w:pgMar w:top="1440" w:right="1800" w:bottom="1440" w:left="1800" w:header="720" w:footer="720" w:gutter="0"/>
          <w:cols w:space="720" w:num="1"/>
          <w:titlePg/>
        </w:sectPr>
      </w:pPr>
      <w:bookmarkStart w:id="2" w:name="_GoBack"/>
      <w:bookmarkEnd w:id="2"/>
    </w:p>
    <w:p w14:paraId="2A4851D3">
      <w:pPr>
        <w:spacing w:before="320" w:after="120" w:line="360" w:lineRule="auto"/>
        <w:jc w:val="center"/>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前</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言</w:t>
      </w:r>
    </w:p>
    <w:p w14:paraId="2867EF32">
      <w:pPr>
        <w:pStyle w:val="30"/>
        <w:spacing w:line="360" w:lineRule="auto"/>
        <w:ind w:firstLine="420"/>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根据GB/T 1.1—20</w:t>
      </w:r>
      <w:r>
        <w:rPr>
          <w:rFonts w:hint="eastAsia"/>
          <w:color w:val="auto"/>
          <w:highlight w:val="none"/>
          <w:lang w:val="en-US" w:eastAsia="zh-CN"/>
        </w:rPr>
        <w:t>2</w:t>
      </w:r>
      <w:r>
        <w:rPr>
          <w:rFonts w:hint="eastAsia"/>
          <w:color w:val="auto"/>
          <w:highlight w:val="none"/>
        </w:rPr>
        <w:t>0《标准化工作导则  第1部分：标准</w:t>
      </w:r>
      <w:r>
        <w:rPr>
          <w:rFonts w:hint="eastAsia"/>
          <w:color w:val="auto"/>
          <w:highlight w:val="none"/>
          <w:lang w:val="en-US" w:eastAsia="zh-CN"/>
        </w:rPr>
        <w:t>化文件</w:t>
      </w:r>
      <w:r>
        <w:rPr>
          <w:rFonts w:hint="eastAsia"/>
          <w:color w:val="auto"/>
          <w:highlight w:val="none"/>
        </w:rPr>
        <w:t>的结构和</w:t>
      </w:r>
      <w:r>
        <w:rPr>
          <w:rFonts w:hint="eastAsia"/>
          <w:color w:val="auto"/>
          <w:highlight w:val="none"/>
          <w:lang w:val="en-US" w:eastAsia="zh-CN"/>
        </w:rPr>
        <w:t>起草</w:t>
      </w:r>
      <w:r>
        <w:rPr>
          <w:rFonts w:hint="eastAsia"/>
          <w:color w:val="auto"/>
          <w:highlight w:val="none"/>
        </w:rPr>
        <w:t>规则》</w:t>
      </w:r>
      <w:r>
        <w:rPr>
          <w:rFonts w:hint="eastAsia"/>
          <w:color w:val="auto"/>
          <w:highlight w:val="none"/>
          <w:lang w:val="en-US" w:eastAsia="zh-CN"/>
        </w:rPr>
        <w:t>的规定起草</w:t>
      </w:r>
      <w:r>
        <w:rPr>
          <w:rFonts w:hint="eastAsia"/>
          <w:color w:val="auto"/>
          <w:highlight w:val="none"/>
        </w:rPr>
        <w:t>。</w:t>
      </w:r>
    </w:p>
    <w:p w14:paraId="0EFBFF06">
      <w:pPr>
        <w:pStyle w:val="30"/>
        <w:spacing w:line="360" w:lineRule="auto"/>
        <w:ind w:firstLine="42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本文件由中国香料香精化妆品工业协会提出及归口。</w:t>
      </w:r>
    </w:p>
    <w:p w14:paraId="3CF148E4">
      <w:pPr>
        <w:pStyle w:val="3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本文件起草单位：水羊集团股份有限公司、水羊化妆品制造有限公司、安徽格锐新材料科技有限公司、湖南省药品检验检测研究院</w:t>
      </w:r>
      <w:r>
        <w:rPr>
          <w:rFonts w:hint="eastAsia" w:cs="Times New Roman"/>
          <w:color w:val="auto"/>
          <w:highlight w:val="none"/>
          <w:lang w:val="en-US" w:eastAsia="zh-CN"/>
        </w:rPr>
        <w:t>。</w:t>
      </w:r>
    </w:p>
    <w:p w14:paraId="5CCDDFF1">
      <w:pPr>
        <w:pStyle w:val="30"/>
        <w:spacing w:line="360" w:lineRule="auto"/>
        <w:ind w:firstLine="420"/>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本文件主要起草人员：张廷志、颜少尉、李印昌、刘泽鑫、黄永健、王凯、李旭杰、徐筱群、黄意、王凯、章为</w:t>
      </w:r>
      <w:r>
        <w:rPr>
          <w:rFonts w:hint="eastAsia" w:cs="Times New Roman"/>
          <w:color w:val="auto"/>
          <w:highlight w:val="none"/>
          <w:lang w:val="en-US" w:eastAsia="zh-CN"/>
        </w:rPr>
        <w:t>。</w:t>
      </w:r>
    </w:p>
    <w:p w14:paraId="4DA06DB9">
      <w:pPr>
        <w:pStyle w:val="3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本文件为首次发布。</w:t>
      </w:r>
    </w:p>
    <w:p w14:paraId="69F3A3DD">
      <w:pPr>
        <w:pStyle w:val="3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请注意本文件的某些内容可能涉及专利。本文件的发布机构不承担识别专利的责任。</w:t>
      </w:r>
    </w:p>
    <w:p w14:paraId="40447048">
      <w:pPr>
        <w:rPr>
          <w:rFonts w:hint="eastAsia"/>
          <w:color w:val="auto"/>
          <w:highlight w:val="none"/>
        </w:rPr>
      </w:pPr>
    </w:p>
    <w:p w14:paraId="7F64B941">
      <w:pPr>
        <w:spacing w:line="360" w:lineRule="auto"/>
        <w:rPr>
          <w:rFonts w:hint="eastAsia"/>
          <w:color w:val="auto"/>
          <w:highlight w:val="none"/>
        </w:rPr>
      </w:pPr>
    </w:p>
    <w:p w14:paraId="19B8A089">
      <w:pPr>
        <w:spacing w:before="320" w:after="120" w:line="288" w:lineRule="auto"/>
        <w:jc w:val="left"/>
        <w:outlineLvl w:val="1"/>
        <w:rPr>
          <w:rFonts w:hint="eastAsia" w:ascii="宋体" w:hAnsi="宋体" w:eastAsia="宋体" w:cs="宋体"/>
          <w:b/>
          <w:sz w:val="32"/>
        </w:rPr>
      </w:pPr>
    </w:p>
    <w:p w14:paraId="1CE080A0">
      <w:pPr>
        <w:spacing w:before="320" w:after="120" w:line="288" w:lineRule="auto"/>
        <w:jc w:val="left"/>
        <w:outlineLvl w:val="1"/>
        <w:rPr>
          <w:rFonts w:hint="eastAsia" w:ascii="宋体" w:hAnsi="宋体" w:eastAsia="宋体" w:cs="宋体"/>
          <w:b/>
          <w:sz w:val="32"/>
        </w:rPr>
      </w:pPr>
    </w:p>
    <w:p w14:paraId="1010AB32">
      <w:pPr>
        <w:spacing w:before="320" w:after="120" w:line="288" w:lineRule="auto"/>
        <w:jc w:val="left"/>
        <w:outlineLvl w:val="1"/>
        <w:rPr>
          <w:rFonts w:hint="eastAsia" w:ascii="宋体" w:hAnsi="宋体" w:eastAsia="宋体" w:cs="宋体"/>
          <w:b/>
          <w:sz w:val="32"/>
        </w:rPr>
      </w:pPr>
    </w:p>
    <w:p w14:paraId="019BE865">
      <w:pPr>
        <w:spacing w:before="320" w:after="120" w:line="288" w:lineRule="auto"/>
        <w:jc w:val="left"/>
        <w:outlineLvl w:val="1"/>
        <w:rPr>
          <w:rFonts w:hint="eastAsia" w:ascii="宋体" w:hAnsi="宋体" w:eastAsia="宋体" w:cs="宋体"/>
          <w:b/>
          <w:sz w:val="32"/>
        </w:rPr>
      </w:pPr>
    </w:p>
    <w:p w14:paraId="25B7B14C">
      <w:pPr>
        <w:spacing w:before="320" w:after="120" w:line="288" w:lineRule="auto"/>
        <w:jc w:val="left"/>
        <w:outlineLvl w:val="1"/>
        <w:rPr>
          <w:rFonts w:hint="eastAsia" w:ascii="宋体" w:hAnsi="宋体" w:eastAsia="宋体" w:cs="宋体"/>
          <w:b/>
          <w:sz w:val="32"/>
        </w:rPr>
      </w:pPr>
    </w:p>
    <w:p w14:paraId="7ACB6C75">
      <w:pPr>
        <w:spacing w:before="320" w:after="120" w:line="288" w:lineRule="auto"/>
        <w:jc w:val="left"/>
        <w:outlineLvl w:val="1"/>
        <w:rPr>
          <w:rFonts w:hint="eastAsia" w:ascii="宋体" w:hAnsi="宋体" w:eastAsia="宋体" w:cs="宋体"/>
          <w:b/>
          <w:sz w:val="32"/>
        </w:rPr>
      </w:pPr>
    </w:p>
    <w:p w14:paraId="12EA097B">
      <w:pPr>
        <w:spacing w:before="320" w:after="120" w:line="288" w:lineRule="auto"/>
        <w:jc w:val="left"/>
        <w:outlineLvl w:val="1"/>
        <w:rPr>
          <w:rFonts w:hint="eastAsia" w:ascii="宋体" w:hAnsi="宋体" w:eastAsia="宋体" w:cs="宋体"/>
          <w:b/>
          <w:sz w:val="32"/>
        </w:rPr>
      </w:pPr>
    </w:p>
    <w:p w14:paraId="1B90C1D1">
      <w:pPr>
        <w:spacing w:before="320" w:after="120" w:line="288" w:lineRule="auto"/>
        <w:jc w:val="left"/>
        <w:outlineLvl w:val="1"/>
        <w:rPr>
          <w:rFonts w:hint="eastAsia" w:ascii="宋体" w:hAnsi="宋体" w:eastAsia="宋体" w:cs="宋体"/>
          <w:b/>
          <w:sz w:val="32"/>
        </w:rPr>
      </w:pPr>
    </w:p>
    <w:p w14:paraId="359554EB">
      <w:pPr>
        <w:spacing w:before="320" w:after="120" w:line="288" w:lineRule="auto"/>
        <w:jc w:val="left"/>
        <w:outlineLvl w:val="1"/>
        <w:rPr>
          <w:rFonts w:hint="eastAsia" w:ascii="宋体" w:hAnsi="宋体" w:eastAsia="宋体" w:cs="宋体"/>
          <w:b/>
          <w:sz w:val="32"/>
        </w:rPr>
      </w:pPr>
    </w:p>
    <w:p w14:paraId="2CD2E7AA">
      <w:pPr>
        <w:spacing w:before="320" w:after="120" w:line="288" w:lineRule="auto"/>
        <w:jc w:val="left"/>
        <w:outlineLvl w:val="1"/>
        <w:rPr>
          <w:rFonts w:hint="eastAsia" w:ascii="宋体" w:hAnsi="宋体" w:eastAsia="宋体" w:cs="宋体"/>
          <w:b/>
          <w:sz w:val="32"/>
        </w:rPr>
      </w:pPr>
    </w:p>
    <w:p w14:paraId="51706C2A">
      <w:pPr>
        <w:pStyle w:val="32"/>
        <w:bidi w:val="0"/>
        <w:ind w:left="0" w:leftChars="0" w:firstLine="0" w:firstLineChars="0"/>
        <w:rPr>
          <w:rFonts w:hint="eastAsia"/>
        </w:rPr>
        <w:sectPr>
          <w:footerReference r:id="rId7" w:type="first"/>
          <w:footerReference r:id="rId6" w:type="default"/>
          <w:pgSz w:w="11905" w:h="16840" w:orient="landscape"/>
          <w:pgMar w:top="1440" w:right="1800" w:bottom="1440" w:left="1800" w:header="720" w:footer="720" w:gutter="0"/>
          <w:pgNumType w:fmt="upperRoman" w:start="1"/>
          <w:cols w:space="720" w:num="1"/>
        </w:sectPr>
      </w:pPr>
    </w:p>
    <w:p w14:paraId="48949431">
      <w:pPr>
        <w:pStyle w:val="32"/>
        <w:bidi w:val="0"/>
        <w:ind w:left="0" w:leftChars="0" w:firstLine="0" w:firstLineChars="0"/>
        <w:rPr>
          <w:rFonts w:hint="eastAsia"/>
        </w:rPr>
      </w:pPr>
      <w:r>
        <w:rPr>
          <w:rFonts w:hint="eastAsia"/>
          <w:color w:val="auto"/>
          <w:spacing w:val="0"/>
          <w:highlight w:val="none"/>
          <w:lang w:val="en-US" w:eastAsia="zh-CN"/>
        </w:rPr>
        <w:t>化妆品用原料</w:t>
      </w:r>
      <w:r>
        <w:rPr>
          <w:rFonts w:hint="eastAsia"/>
          <w:color w:val="auto"/>
          <w:spacing w:val="0"/>
          <w:highlight w:val="none"/>
          <w:lang w:val="zh-CN"/>
        </w:rPr>
        <w:t xml:space="preserve">  </w:t>
      </w:r>
      <w:r>
        <w:rPr>
          <w:rFonts w:hint="eastAsia"/>
          <w:color w:val="auto"/>
          <w:spacing w:val="0"/>
          <w:highlight w:val="none"/>
          <w:lang w:val="en-US" w:eastAsia="zh-CN"/>
        </w:rPr>
        <w:t>伊利水云母</w:t>
      </w:r>
    </w:p>
    <w:p w14:paraId="1E99A8B1">
      <w:pPr>
        <w:spacing w:before="320" w:after="120" w:line="288" w:lineRule="auto"/>
        <w:jc w:val="left"/>
        <w:outlineLvl w:val="1"/>
        <w:rPr>
          <w:rFonts w:hint="eastAsia" w:ascii="黑体" w:hAnsi="黑体" w:eastAsia="黑体" w:cs="黑体"/>
          <w:bCs/>
          <w:sz w:val="21"/>
          <w:szCs w:val="21"/>
        </w:rPr>
      </w:pPr>
      <w:r>
        <w:rPr>
          <w:rFonts w:hint="eastAsia" w:ascii="黑体" w:hAnsi="黑体" w:eastAsia="黑体" w:cs="黑体"/>
          <w:b w:val="0"/>
          <w:bCs/>
          <w:sz w:val="21"/>
          <w:szCs w:val="21"/>
        </w:rPr>
        <w:t>1 范围</w:t>
      </w:r>
    </w:p>
    <w:p w14:paraId="6A16827A">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本文件规定了</w:t>
      </w:r>
      <w:r>
        <w:rPr>
          <w:rFonts w:hint="eastAsia" w:ascii="宋体" w:hAnsi="宋体" w:eastAsia="宋体" w:cs="宋体"/>
          <w:sz w:val="21"/>
          <w:szCs w:val="21"/>
          <w:lang w:eastAsia="zh-CN"/>
        </w:rPr>
        <w:t>化妆品用原料伊利水云母</w:t>
      </w:r>
      <w:r>
        <w:rPr>
          <w:rFonts w:hint="eastAsia" w:ascii="宋体" w:hAnsi="宋体" w:eastAsia="宋体" w:cs="宋体"/>
          <w:sz w:val="21"/>
          <w:szCs w:val="21"/>
        </w:rPr>
        <w:t>的术语和定义、要求、检验方法、检验规则、运输和贮存。</w:t>
      </w:r>
    </w:p>
    <w:p w14:paraId="42ECAAB6">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本文件适用于以砂质伊利石为原料，经破碎、沉降、干燥后制得的</w:t>
      </w:r>
      <w:r>
        <w:rPr>
          <w:rFonts w:hint="eastAsia" w:ascii="宋体" w:hAnsi="宋体" w:eastAsia="宋体" w:cs="宋体"/>
          <w:sz w:val="21"/>
          <w:szCs w:val="21"/>
          <w:lang w:eastAsia="zh-CN"/>
        </w:rPr>
        <w:t>化妆品用原料伊利水云母</w:t>
      </w:r>
      <w:r>
        <w:rPr>
          <w:rFonts w:hint="eastAsia" w:ascii="宋体" w:hAnsi="宋体" w:eastAsia="宋体" w:cs="宋体"/>
          <w:sz w:val="21"/>
          <w:szCs w:val="21"/>
        </w:rPr>
        <w:t>。</w:t>
      </w:r>
    </w:p>
    <w:p w14:paraId="3C1CE42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2 规范性引用文件</w:t>
      </w:r>
    </w:p>
    <w:p w14:paraId="554C99F8">
      <w:pPr>
        <w:spacing w:before="120" w:after="120" w:line="360" w:lineRule="auto"/>
        <w:ind w:firstLine="420"/>
        <w:rPr>
          <w:rFonts w:hint="eastAsia" w:ascii="宋体" w:hAnsi="宋体" w:eastAsia="宋体" w:cs="宋体"/>
          <w:sz w:val="21"/>
          <w:szCs w:val="21"/>
        </w:rPr>
      </w:pPr>
      <w:r>
        <w:rPr>
          <w:rFonts w:hint="eastAsia" w:ascii="宋体" w:hAnsi="宋体" w:eastAsia="宋体" w:cs="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366C44B">
      <w:pPr>
        <w:keepNext w:val="0"/>
        <w:keepLines w:val="0"/>
        <w:widowControl/>
        <w:suppressLineNumbers w:val="0"/>
        <w:spacing w:line="360" w:lineRule="auto"/>
        <w:ind w:left="0" w:firstLine="42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GB/T 19077 粒度分布激光衍射法</w:t>
      </w:r>
    </w:p>
    <w:p w14:paraId="4A5B9F50">
      <w:pPr>
        <w:keepNext w:val="0"/>
        <w:keepLines w:val="0"/>
        <w:widowControl/>
        <w:suppressLineNumbers w:val="0"/>
        <w:spacing w:line="360" w:lineRule="auto"/>
        <w:ind w:left="0" w:firstLine="42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GB/T 23774 无机化工产品白度测定的通用方法</w:t>
      </w:r>
    </w:p>
    <w:p w14:paraId="59228D59">
      <w:pPr>
        <w:keepNext w:val="0"/>
        <w:keepLines w:val="0"/>
        <w:widowControl/>
        <w:suppressLineNumbers w:val="0"/>
        <w:spacing w:line="360" w:lineRule="auto"/>
        <w:ind w:left="0" w:firstLine="42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GB/T 37625 化妆品检验规则</w:t>
      </w:r>
    </w:p>
    <w:p w14:paraId="5CEB6CDC">
      <w:pPr>
        <w:keepNext w:val="0"/>
        <w:keepLines w:val="0"/>
        <w:widowControl/>
        <w:suppressLineNumbers w:val="0"/>
        <w:spacing w:line="360" w:lineRule="auto"/>
        <w:ind w:left="0" w:firstLine="42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SY/T 5163-2018沉积岩中黏土矿物和常见非黏土矿物X射线衍射分析方法 </w:t>
      </w:r>
    </w:p>
    <w:p w14:paraId="7845BD57">
      <w:pPr>
        <w:keepNext w:val="0"/>
        <w:keepLines w:val="0"/>
        <w:widowControl/>
        <w:suppressLineNumbers w:val="0"/>
        <w:spacing w:line="360" w:lineRule="auto"/>
        <w:ind w:left="0" w:firstLine="42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GB/T 5211.3 颜料和体质颜料通用试验方法 第3部分：105℃挥发物的测定</w:t>
      </w:r>
    </w:p>
    <w:p w14:paraId="66024C5F">
      <w:pPr>
        <w:keepNext w:val="0"/>
        <w:keepLines w:val="0"/>
        <w:widowControl/>
        <w:suppressLineNumbers w:val="0"/>
        <w:spacing w:line="360" w:lineRule="auto"/>
        <w:ind w:left="0" w:firstLine="42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GB/T 5211.6 颜料和体质颜料通用试验方法 第6部分：水悬浮液pH值的测定</w:t>
      </w:r>
    </w:p>
    <w:p w14:paraId="431799D8">
      <w:pPr>
        <w:keepNext w:val="0"/>
        <w:keepLines w:val="0"/>
        <w:widowControl/>
        <w:suppressLineNumbers w:val="0"/>
        <w:spacing w:line="360" w:lineRule="auto"/>
        <w:ind w:left="0" w:firstLine="420"/>
        <w:jc w:val="left"/>
        <w:rPr>
          <w:rFonts w:hint="eastAsia"/>
          <w:lang w:val="en-US" w:eastAsia="zh-CN"/>
        </w:rPr>
      </w:pPr>
      <w:r>
        <w:rPr>
          <w:rFonts w:hint="eastAsia" w:ascii="宋体" w:hAnsi="宋体" w:eastAsia="宋体" w:cs="宋体"/>
          <w:kern w:val="0"/>
          <w:sz w:val="21"/>
          <w:szCs w:val="21"/>
          <w:lang w:val="en-US" w:eastAsia="zh-CN" w:bidi="ar"/>
        </w:rPr>
        <w:t>GB/T 5211.15 颜料和体质颜料通用试验方法 第15部分：吸油量的测定</w:t>
      </w:r>
    </w:p>
    <w:p w14:paraId="0EAC4045">
      <w:pPr>
        <w:keepNext w:val="0"/>
        <w:keepLines w:val="0"/>
        <w:widowControl/>
        <w:suppressLineNumbers w:val="0"/>
        <w:spacing w:line="360" w:lineRule="auto"/>
        <w:ind w:left="0" w:firstLine="42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GB/T 6682 分析实验室用水规格和试验方法</w:t>
      </w:r>
    </w:p>
    <w:p w14:paraId="1283753A">
      <w:pPr>
        <w:keepNext w:val="0"/>
        <w:keepLines w:val="0"/>
        <w:widowControl/>
        <w:suppressLineNumbers w:val="0"/>
        <w:spacing w:line="360" w:lineRule="auto"/>
        <w:ind w:left="0" w:firstLine="420"/>
        <w:jc w:val="left"/>
        <w:rPr>
          <w:rFonts w:hint="eastAsia"/>
          <w:lang w:val="en-US" w:eastAsia="zh-CN"/>
        </w:rPr>
      </w:pPr>
      <w:r>
        <w:rPr>
          <w:rFonts w:hint="eastAsia" w:ascii="宋体" w:hAnsi="宋体" w:eastAsia="宋体" w:cs="宋体"/>
          <w:kern w:val="0"/>
          <w:sz w:val="21"/>
          <w:szCs w:val="21"/>
          <w:lang w:val="en-US" w:eastAsia="zh-CN" w:bidi="ar"/>
        </w:rPr>
        <w:t>GB/T 8170 数值修约规则与极限数值的表示和判定</w:t>
      </w:r>
    </w:p>
    <w:p w14:paraId="1A0E9E55">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rPr>
        <w:t xml:space="preserve">3 </w:t>
      </w:r>
      <w:r>
        <w:rPr>
          <w:rFonts w:hint="eastAsia" w:ascii="黑体" w:hAnsi="黑体" w:eastAsia="黑体" w:cs="黑体"/>
          <w:sz w:val="21"/>
          <w:szCs w:val="21"/>
          <w:lang w:val="en-US" w:eastAsia="zh-CN"/>
        </w:rPr>
        <w:t>术语和定义</w:t>
      </w:r>
    </w:p>
    <w:p w14:paraId="62F77C45">
      <w:pPr>
        <w:pStyle w:val="17"/>
        <w:rPr>
          <w:rFonts w:hint="eastAsia" w:ascii="宋体" w:hAnsi="宋体" w:cs="宋体"/>
          <w:sz w:val="21"/>
          <w:szCs w:val="21"/>
          <w:lang w:val="en-US" w:eastAsia="zh-CN"/>
        </w:rPr>
      </w:pPr>
      <w:r>
        <w:rPr>
          <w:rFonts w:hint="eastAsia" w:ascii="宋体" w:hAnsi="宋体" w:cs="宋体"/>
          <w:sz w:val="21"/>
          <w:szCs w:val="21"/>
          <w:lang w:val="en-US" w:eastAsia="zh-CN"/>
        </w:rPr>
        <w:t>本文件没有需要界定的术语和定义。</w:t>
      </w:r>
    </w:p>
    <w:p w14:paraId="4868CFA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4 基本信息</w:t>
      </w:r>
      <w:r>
        <w:rPr>
          <w:rFonts w:hint="eastAsia" w:ascii="黑体" w:hAnsi="黑体" w:eastAsia="黑体" w:cs="黑体"/>
          <w:sz w:val="21"/>
          <w:szCs w:val="21"/>
        </w:rPr>
        <w:t xml:space="preserve"> </w:t>
      </w:r>
    </w:p>
    <w:p w14:paraId="4E3E281B">
      <w:pPr>
        <w:spacing w:before="120" w:after="120"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中文名称：</w:t>
      </w:r>
      <w:r>
        <w:rPr>
          <w:rFonts w:hint="eastAsia" w:ascii="宋体" w:hAnsi="宋体" w:eastAsia="宋体" w:cs="宋体"/>
          <w:sz w:val="21"/>
          <w:szCs w:val="21"/>
        </w:rPr>
        <w:t>伊利水云母</w:t>
      </w:r>
    </w:p>
    <w:p w14:paraId="464E3ADC">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INCI名称：ILLITE</w:t>
      </w:r>
    </w:p>
    <w:p w14:paraId="41DBC1B2">
      <w:pPr>
        <w:spacing w:before="120" w:after="120" w:line="360" w:lineRule="auto"/>
        <w:ind w:firstLine="480"/>
        <w:jc w:val="left"/>
        <w:rPr>
          <w:rFonts w:hint="eastAsia" w:ascii="宋体" w:hAnsi="宋体" w:eastAsia="宋体" w:cs="宋体"/>
          <w:sz w:val="21"/>
          <w:szCs w:val="21"/>
          <w:vertAlign w:val="subscript"/>
          <w:lang w:val="en-US" w:eastAsia="zh-CN"/>
        </w:rPr>
      </w:pPr>
      <w:r>
        <w:rPr>
          <w:rFonts w:hint="eastAsia" w:ascii="宋体" w:hAnsi="宋体" w:eastAsia="宋体" w:cs="宋体"/>
          <w:sz w:val="21"/>
          <w:szCs w:val="21"/>
          <w:lang w:val="en-US" w:eastAsia="zh-CN"/>
        </w:rPr>
        <w:t>分子式：</w:t>
      </w:r>
      <w:r>
        <w:rPr>
          <w:rFonts w:hint="eastAsia" w:ascii="宋体" w:hAnsi="宋体" w:eastAsia="宋体" w:cs="宋体"/>
          <w:position w:val="-12"/>
          <w:sz w:val="21"/>
          <w:szCs w:val="21"/>
          <w:vertAlign w:val="baseline"/>
          <w:lang w:val="en-US" w:eastAsia="zh-CN"/>
        </w:rPr>
        <w:object>
          <v:shape id="_x0000_i1025" o:spt="75" type="#_x0000_t75" style="height:18pt;width:168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14:paraId="7E1D8296">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CAS号: 12173-60-3</w:t>
      </w:r>
    </w:p>
    <w:p w14:paraId="4703EA5E">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相对分子质量：343.47</w:t>
      </w:r>
    </w:p>
    <w:p w14:paraId="21160A06">
      <w:pPr>
        <w:pStyle w:val="17"/>
        <w:rPr>
          <w:rFonts w:hint="eastAsia" w:ascii="宋体" w:hAnsi="宋体" w:eastAsia="宋体" w:cs="宋体"/>
          <w:sz w:val="21"/>
          <w:szCs w:val="21"/>
          <w:lang w:val="en-US" w:eastAsia="zh-CN"/>
        </w:rPr>
      </w:pPr>
    </w:p>
    <w:p w14:paraId="3F01E3D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5 技术</w:t>
      </w:r>
      <w:r>
        <w:rPr>
          <w:rFonts w:hint="eastAsia" w:ascii="黑体" w:hAnsi="黑体" w:eastAsia="黑体" w:cs="黑体"/>
          <w:sz w:val="21"/>
          <w:szCs w:val="21"/>
        </w:rPr>
        <w:t>要求</w:t>
      </w:r>
    </w:p>
    <w:p w14:paraId="16EF0CF6">
      <w:pPr>
        <w:pStyle w:val="17"/>
        <w:ind w:firstLine="0" w:firstLineChars="0"/>
        <w:rPr>
          <w:rFonts w:hint="default" w:eastAsia="黑体"/>
          <w:lang w:val="en-US" w:eastAsia="zh-CN"/>
        </w:rPr>
      </w:pPr>
      <w:r>
        <w:rPr>
          <w:rFonts w:hint="eastAsia" w:ascii="黑体" w:hAnsi="黑体" w:eastAsia="黑体" w:cs="黑体"/>
          <w:sz w:val="21"/>
          <w:szCs w:val="21"/>
          <w:lang w:val="en-US" w:eastAsia="zh-CN"/>
        </w:rPr>
        <w:t>5.1 感官、理化指标</w:t>
      </w:r>
    </w:p>
    <w:p w14:paraId="1FA002B4">
      <w:pPr>
        <w:spacing w:before="120" w:after="120" w:line="288" w:lineRule="auto"/>
        <w:ind w:left="453"/>
        <w:jc w:val="left"/>
        <w:rPr>
          <w:rFonts w:hint="eastAsia" w:ascii="宋体" w:hAnsi="宋体" w:eastAsia="宋体" w:cs="宋体"/>
          <w:sz w:val="21"/>
          <w:szCs w:val="21"/>
        </w:rPr>
      </w:pPr>
      <w:r>
        <w:rPr>
          <w:rFonts w:hint="eastAsia" w:ascii="宋体" w:hAnsi="宋体" w:eastAsia="宋体" w:cs="宋体"/>
          <w:sz w:val="21"/>
          <w:szCs w:val="21"/>
          <w:lang w:val="en-US" w:eastAsia="zh-CN"/>
        </w:rPr>
        <w:t>感官、理化指标详见表1。</w:t>
      </w:r>
    </w:p>
    <w:p w14:paraId="1505DC06">
      <w:pPr>
        <w:spacing w:before="120" w:after="120"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 感官、理化指标</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55"/>
        <w:gridCol w:w="3118"/>
        <w:gridCol w:w="3821"/>
      </w:tblGrid>
      <w:tr w14:paraId="5A99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673" w:type="dxa"/>
            <w:gridSpan w:val="2"/>
            <w:vAlign w:val="center"/>
          </w:tcPr>
          <w:p w14:paraId="4FD016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w:t>
            </w:r>
          </w:p>
        </w:tc>
        <w:tc>
          <w:tcPr>
            <w:tcW w:w="3821" w:type="dxa"/>
            <w:vAlign w:val="center"/>
          </w:tcPr>
          <w:p w14:paraId="017D21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要求</w:t>
            </w:r>
          </w:p>
        </w:tc>
      </w:tr>
      <w:tr w14:paraId="00ED9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55" w:type="dxa"/>
            <w:vMerge w:val="restart"/>
            <w:vAlign w:val="center"/>
          </w:tcPr>
          <w:p w14:paraId="44BA79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感官指标</w:t>
            </w:r>
          </w:p>
        </w:tc>
        <w:tc>
          <w:tcPr>
            <w:tcW w:w="3118" w:type="dxa"/>
            <w:vAlign w:val="center"/>
          </w:tcPr>
          <w:p w14:paraId="1DA823B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外观</w:t>
            </w:r>
          </w:p>
        </w:tc>
        <w:tc>
          <w:tcPr>
            <w:tcW w:w="3821" w:type="dxa"/>
            <w:vAlign w:val="center"/>
          </w:tcPr>
          <w:p w14:paraId="1ED559A3">
            <w:pPr>
              <w:ind w:left="-105" w:leftChars="-50" w:right="-105" w:rightChars="-5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灰白色</w:t>
            </w:r>
          </w:p>
        </w:tc>
      </w:tr>
      <w:tr w14:paraId="5B6E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24311F80">
            <w:pPr>
              <w:jc w:val="center"/>
              <w:rPr>
                <w:rFonts w:hint="eastAsia" w:ascii="宋体" w:hAnsi="宋体" w:eastAsia="宋体" w:cs="宋体"/>
                <w:color w:val="000000"/>
                <w:sz w:val="18"/>
                <w:szCs w:val="18"/>
              </w:rPr>
            </w:pPr>
          </w:p>
        </w:tc>
        <w:tc>
          <w:tcPr>
            <w:tcW w:w="3118" w:type="dxa"/>
            <w:vAlign w:val="center"/>
          </w:tcPr>
          <w:p w14:paraId="441BF7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气味</w:t>
            </w:r>
          </w:p>
        </w:tc>
        <w:tc>
          <w:tcPr>
            <w:tcW w:w="3821" w:type="dxa"/>
            <w:vAlign w:val="center"/>
          </w:tcPr>
          <w:p w14:paraId="0AC35B3B">
            <w:pPr>
              <w:ind w:left="-105" w:leftChars="-50" w:right="-105" w:rightChars="-5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无</w:t>
            </w:r>
            <w:r>
              <w:rPr>
                <w:rFonts w:hint="eastAsia" w:ascii="宋体" w:hAnsi="宋体" w:eastAsia="宋体" w:cs="宋体"/>
                <w:color w:val="000000"/>
                <w:sz w:val="18"/>
                <w:szCs w:val="18"/>
                <w:lang w:val="en-US" w:eastAsia="zh-CN"/>
              </w:rPr>
              <w:t>特殊气味</w:t>
            </w:r>
          </w:p>
        </w:tc>
      </w:tr>
      <w:tr w14:paraId="189FB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2239FB39">
            <w:pPr>
              <w:jc w:val="center"/>
              <w:rPr>
                <w:rFonts w:hint="eastAsia" w:ascii="宋体" w:hAnsi="宋体" w:eastAsia="宋体" w:cs="宋体"/>
                <w:color w:val="000000"/>
                <w:sz w:val="18"/>
                <w:szCs w:val="18"/>
              </w:rPr>
            </w:pPr>
          </w:p>
        </w:tc>
        <w:tc>
          <w:tcPr>
            <w:tcW w:w="3118" w:type="dxa"/>
            <w:vAlign w:val="center"/>
          </w:tcPr>
          <w:p w14:paraId="619A1C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性状</w:t>
            </w:r>
          </w:p>
        </w:tc>
        <w:tc>
          <w:tcPr>
            <w:tcW w:w="3821" w:type="dxa"/>
            <w:vAlign w:val="center"/>
          </w:tcPr>
          <w:p w14:paraId="25073669">
            <w:pPr>
              <w:ind w:left="-105" w:leftChars="-50" w:right="-105" w:rightChars="-5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粉末</w:t>
            </w:r>
          </w:p>
        </w:tc>
      </w:tr>
      <w:tr w14:paraId="1C62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55" w:type="dxa"/>
            <w:vMerge w:val="restart"/>
            <w:vAlign w:val="center"/>
          </w:tcPr>
          <w:p w14:paraId="2664D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理化指标</w:t>
            </w:r>
          </w:p>
        </w:tc>
        <w:tc>
          <w:tcPr>
            <w:tcW w:w="3118" w:type="dxa"/>
            <w:shd w:val="clear" w:color="auto" w:fill="auto"/>
            <w:vAlign w:val="top"/>
          </w:tcPr>
          <w:p w14:paraId="7E597D1C">
            <w:pPr>
              <w:spacing w:before="0" w:after="0"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纯度</w:t>
            </w:r>
          </w:p>
        </w:tc>
        <w:tc>
          <w:tcPr>
            <w:tcW w:w="3821" w:type="dxa"/>
            <w:shd w:val="clear" w:color="auto" w:fill="auto"/>
            <w:vAlign w:val="top"/>
          </w:tcPr>
          <w:p w14:paraId="41F1F201">
            <w:pPr>
              <w:spacing w:before="0" w:after="0"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40%-90%</w:t>
            </w:r>
          </w:p>
        </w:tc>
      </w:tr>
      <w:tr w14:paraId="02F69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1555" w:type="dxa"/>
            <w:vMerge w:val="continue"/>
            <w:vAlign w:val="center"/>
          </w:tcPr>
          <w:p w14:paraId="3637D2A0">
            <w:pPr>
              <w:jc w:val="center"/>
              <w:rPr>
                <w:rFonts w:hint="eastAsia" w:ascii="宋体" w:hAnsi="宋体" w:eastAsia="宋体" w:cs="宋体"/>
                <w:color w:val="000000"/>
                <w:sz w:val="18"/>
                <w:szCs w:val="18"/>
              </w:rPr>
            </w:pPr>
          </w:p>
        </w:tc>
        <w:tc>
          <w:tcPr>
            <w:tcW w:w="3118" w:type="dxa"/>
            <w:shd w:val="clear" w:color="auto" w:fill="auto"/>
            <w:vAlign w:val="top"/>
          </w:tcPr>
          <w:p w14:paraId="5A209277">
            <w:pPr>
              <w:spacing w:before="0" w:after="0"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105℃挥发物/%</w:t>
            </w:r>
          </w:p>
        </w:tc>
        <w:tc>
          <w:tcPr>
            <w:tcW w:w="3821" w:type="dxa"/>
            <w:shd w:val="clear" w:color="auto" w:fill="auto"/>
            <w:vAlign w:val="top"/>
          </w:tcPr>
          <w:p w14:paraId="024A74D6">
            <w:pPr>
              <w:spacing w:before="0" w:after="0"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rPr>
              <w:t>.0%</w:t>
            </w:r>
          </w:p>
        </w:tc>
      </w:tr>
      <w:tr w14:paraId="2675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20ECF766">
            <w:pPr>
              <w:jc w:val="center"/>
              <w:rPr>
                <w:rFonts w:hint="eastAsia" w:ascii="宋体" w:hAnsi="宋体" w:eastAsia="宋体" w:cs="宋体"/>
                <w:color w:val="000000"/>
                <w:sz w:val="18"/>
                <w:szCs w:val="18"/>
              </w:rPr>
            </w:pPr>
          </w:p>
        </w:tc>
        <w:tc>
          <w:tcPr>
            <w:tcW w:w="3118" w:type="dxa"/>
            <w:vAlign w:val="top"/>
          </w:tcPr>
          <w:p w14:paraId="0FA9FFD1">
            <w:pPr>
              <w:spacing w:before="0" w:after="0"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白度</w:t>
            </w:r>
          </w:p>
        </w:tc>
        <w:tc>
          <w:tcPr>
            <w:tcW w:w="3821" w:type="dxa"/>
            <w:vAlign w:val="top"/>
          </w:tcPr>
          <w:p w14:paraId="7EFACC2F">
            <w:pPr>
              <w:spacing w:before="0" w:after="0"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w:t>
            </w:r>
          </w:p>
        </w:tc>
      </w:tr>
      <w:tr w14:paraId="6578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55" w:type="dxa"/>
            <w:vMerge w:val="continue"/>
            <w:vAlign w:val="center"/>
          </w:tcPr>
          <w:p w14:paraId="50A7B0DA">
            <w:pPr>
              <w:jc w:val="center"/>
              <w:rPr>
                <w:rFonts w:hint="eastAsia" w:ascii="宋体" w:hAnsi="宋体" w:eastAsia="宋体" w:cs="宋体"/>
                <w:color w:val="000000"/>
                <w:sz w:val="18"/>
                <w:szCs w:val="18"/>
              </w:rPr>
            </w:pPr>
          </w:p>
        </w:tc>
        <w:tc>
          <w:tcPr>
            <w:tcW w:w="3118" w:type="dxa"/>
            <w:shd w:val="clear" w:color="auto" w:fill="auto"/>
            <w:vAlign w:val="top"/>
          </w:tcPr>
          <w:p w14:paraId="5821A832">
            <w:pPr>
              <w:spacing w:before="0" w:after="0"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pH（10%水溶液）</w:t>
            </w:r>
          </w:p>
        </w:tc>
        <w:tc>
          <w:tcPr>
            <w:tcW w:w="3821" w:type="dxa"/>
            <w:shd w:val="clear" w:color="auto" w:fill="auto"/>
            <w:vAlign w:val="top"/>
          </w:tcPr>
          <w:p w14:paraId="46D98775">
            <w:pPr>
              <w:spacing w:before="0" w:after="0" w:line="240" w:lineRule="auto"/>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val="en-US" w:eastAsia="zh-CN"/>
              </w:rPr>
              <w:t>10</w:t>
            </w:r>
          </w:p>
        </w:tc>
      </w:tr>
      <w:tr w14:paraId="2A7F3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 w:hRule="atLeast"/>
          <w:jc w:val="center"/>
        </w:trPr>
        <w:tc>
          <w:tcPr>
            <w:tcW w:w="1555" w:type="dxa"/>
            <w:vMerge w:val="continue"/>
            <w:vAlign w:val="center"/>
          </w:tcPr>
          <w:p w14:paraId="160F1BC5">
            <w:pPr>
              <w:jc w:val="center"/>
              <w:rPr>
                <w:rFonts w:hint="eastAsia" w:ascii="宋体" w:hAnsi="宋体" w:eastAsia="宋体" w:cs="宋体"/>
                <w:color w:val="000000"/>
                <w:sz w:val="18"/>
                <w:szCs w:val="18"/>
              </w:rPr>
            </w:pPr>
          </w:p>
        </w:tc>
        <w:tc>
          <w:tcPr>
            <w:tcW w:w="3118" w:type="dxa"/>
            <w:vAlign w:val="center"/>
          </w:tcPr>
          <w:p w14:paraId="62D1A90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平均粒度D50/</w:t>
            </w:r>
            <w:r>
              <w:rPr>
                <w:rFonts w:hint="eastAsia" w:ascii="宋体" w:hAnsi="宋体" w:eastAsia="宋体" w:cs="宋体"/>
                <w:color w:val="000000"/>
                <w:sz w:val="18"/>
                <w:szCs w:val="18"/>
                <w:lang w:bidi="ar"/>
              </w:rPr>
              <w:t>μm</w:t>
            </w:r>
          </w:p>
        </w:tc>
        <w:tc>
          <w:tcPr>
            <w:tcW w:w="3821" w:type="dxa"/>
            <w:vAlign w:val="center"/>
          </w:tcPr>
          <w:p w14:paraId="74CD0998">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5</w:t>
            </w:r>
          </w:p>
        </w:tc>
      </w:tr>
      <w:tr w14:paraId="4291C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555" w:type="dxa"/>
            <w:vMerge w:val="continue"/>
            <w:vAlign w:val="center"/>
          </w:tcPr>
          <w:p w14:paraId="75F9473B">
            <w:pPr>
              <w:jc w:val="center"/>
              <w:rPr>
                <w:rFonts w:hint="eastAsia" w:ascii="宋体" w:hAnsi="宋体" w:eastAsia="宋体" w:cs="宋体"/>
                <w:color w:val="000000"/>
                <w:sz w:val="18"/>
                <w:szCs w:val="18"/>
              </w:rPr>
            </w:pPr>
          </w:p>
        </w:tc>
        <w:tc>
          <w:tcPr>
            <w:tcW w:w="3118" w:type="dxa"/>
            <w:vAlign w:val="center"/>
          </w:tcPr>
          <w:p w14:paraId="51B2B9F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吸油量/（g/100</w:t>
            </w:r>
            <w:r>
              <w:rPr>
                <w:rFonts w:hint="eastAsia" w:ascii="宋体" w:hAnsi="宋体" w:eastAsia="宋体" w:cs="宋体"/>
                <w:color w:val="000000"/>
                <w:sz w:val="18"/>
                <w:szCs w:val="18"/>
              </w:rPr>
              <w:t> </w:t>
            </w:r>
            <w:r>
              <w:rPr>
                <w:rFonts w:hint="eastAsia" w:ascii="宋体" w:hAnsi="宋体" w:eastAsia="宋体" w:cs="宋体"/>
                <w:color w:val="000000"/>
                <w:sz w:val="18"/>
                <w:szCs w:val="18"/>
                <w:lang w:val="en-US" w:eastAsia="zh-CN"/>
              </w:rPr>
              <w:t>g）</w:t>
            </w:r>
          </w:p>
        </w:tc>
        <w:tc>
          <w:tcPr>
            <w:tcW w:w="3821" w:type="dxa"/>
            <w:vAlign w:val="center"/>
          </w:tcPr>
          <w:p w14:paraId="3E88CA8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20-40</w:t>
            </w:r>
          </w:p>
        </w:tc>
      </w:tr>
    </w:tbl>
    <w:p w14:paraId="543D7343">
      <w:pPr>
        <w:pStyle w:val="17"/>
        <w:ind w:firstLine="0" w:firstLineChars="0"/>
        <w:rPr>
          <w:rFonts w:hint="eastAsia" w:ascii="黑体" w:hAnsi="黑体" w:eastAsia="黑体" w:cs="黑体"/>
          <w:sz w:val="21"/>
          <w:szCs w:val="21"/>
          <w:lang w:val="en-US" w:eastAsia="zh-CN"/>
        </w:rPr>
      </w:pPr>
    </w:p>
    <w:p w14:paraId="796A5598">
      <w:pPr>
        <w:pStyle w:val="17"/>
        <w:ind w:firstLine="0" w:firstLineChars="0"/>
        <w:rPr>
          <w:rFonts w:hint="default" w:eastAsia="黑体"/>
          <w:lang w:val="en-US" w:eastAsia="zh-CN"/>
        </w:rPr>
      </w:pPr>
      <w:r>
        <w:rPr>
          <w:rFonts w:hint="eastAsia" w:ascii="黑体" w:hAnsi="黑体" w:eastAsia="黑体" w:cs="黑体"/>
          <w:sz w:val="21"/>
          <w:szCs w:val="21"/>
          <w:lang w:val="en-US" w:eastAsia="zh-CN"/>
        </w:rPr>
        <w:t>5.2 微生物及有害物质指标</w:t>
      </w:r>
    </w:p>
    <w:p w14:paraId="56CFB145">
      <w:pPr>
        <w:spacing w:before="120" w:after="120" w:line="288" w:lineRule="auto"/>
        <w:ind w:left="453"/>
        <w:jc w:val="left"/>
        <w:rPr>
          <w:rFonts w:hint="eastAsia" w:ascii="宋体" w:hAnsi="宋体" w:eastAsia="宋体" w:cs="宋体"/>
          <w:sz w:val="21"/>
          <w:szCs w:val="21"/>
        </w:rPr>
      </w:pPr>
      <w:r>
        <w:rPr>
          <w:rFonts w:hint="eastAsia" w:ascii="宋体" w:hAnsi="宋体" w:eastAsia="宋体" w:cs="宋体"/>
          <w:sz w:val="21"/>
          <w:szCs w:val="21"/>
          <w:lang w:val="en-US" w:eastAsia="zh-CN"/>
        </w:rPr>
        <w:t>微生物及有害物质指标详见表2。</w:t>
      </w:r>
    </w:p>
    <w:p w14:paraId="4128514C">
      <w:pPr>
        <w:spacing w:before="120" w:after="120"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 微生物及有害物质指标</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3246"/>
        <w:gridCol w:w="3555"/>
      </w:tblGrid>
      <w:tr w14:paraId="3D0A2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4407" w:type="dxa"/>
            <w:gridSpan w:val="2"/>
            <w:vAlign w:val="center"/>
          </w:tcPr>
          <w:p w14:paraId="22FEEB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w:t>
            </w:r>
          </w:p>
        </w:tc>
        <w:tc>
          <w:tcPr>
            <w:tcW w:w="3555" w:type="dxa"/>
            <w:vAlign w:val="center"/>
          </w:tcPr>
          <w:p w14:paraId="79628B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要求</w:t>
            </w:r>
          </w:p>
        </w:tc>
      </w:tr>
      <w:tr w14:paraId="77F9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restart"/>
            <w:vAlign w:val="center"/>
          </w:tcPr>
          <w:p w14:paraId="5FA9FCF4">
            <w:pPr>
              <w:jc w:val="center"/>
              <w:rPr>
                <w:rFonts w:hint="eastAsia" w:ascii="宋体" w:hAnsi="宋体" w:eastAsia="宋体" w:cs="宋体"/>
                <w:color w:val="000000"/>
                <w:sz w:val="18"/>
                <w:szCs w:val="18"/>
              </w:rPr>
            </w:pPr>
            <w:r>
              <w:rPr>
                <w:rFonts w:hint="eastAsia" w:ascii="宋体" w:hAnsi="宋体" w:eastAsia="宋体" w:cs="宋体"/>
                <w:sz w:val="18"/>
                <w:szCs w:val="18"/>
              </w:rPr>
              <w:t>微生物及有害物质指标</w:t>
            </w:r>
          </w:p>
        </w:tc>
        <w:tc>
          <w:tcPr>
            <w:tcW w:w="3246" w:type="dxa"/>
            <w:vAlign w:val="center"/>
          </w:tcPr>
          <w:p w14:paraId="1CFDBE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菌落总数/（CFU/g）</w:t>
            </w:r>
          </w:p>
        </w:tc>
        <w:tc>
          <w:tcPr>
            <w:tcW w:w="3555" w:type="dxa"/>
            <w:vAlign w:val="center"/>
          </w:tcPr>
          <w:p w14:paraId="38986C3D">
            <w:pPr>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1000</w:t>
            </w:r>
          </w:p>
        </w:tc>
      </w:tr>
      <w:tr w14:paraId="61C1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3F36F3D5">
            <w:pPr>
              <w:jc w:val="center"/>
              <w:rPr>
                <w:rFonts w:hint="eastAsia" w:ascii="宋体" w:hAnsi="宋体" w:eastAsia="宋体" w:cs="宋体"/>
                <w:color w:val="000000"/>
                <w:sz w:val="18"/>
                <w:szCs w:val="18"/>
              </w:rPr>
            </w:pPr>
          </w:p>
        </w:tc>
        <w:tc>
          <w:tcPr>
            <w:tcW w:w="3246" w:type="dxa"/>
            <w:vAlign w:val="center"/>
          </w:tcPr>
          <w:p w14:paraId="43CBB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霉菌和酵母菌总数/（CFU/g）</w:t>
            </w:r>
          </w:p>
        </w:tc>
        <w:tc>
          <w:tcPr>
            <w:tcW w:w="3555" w:type="dxa"/>
            <w:vAlign w:val="center"/>
          </w:tcPr>
          <w:p w14:paraId="4BEB9152">
            <w:pPr>
              <w:jc w:val="center"/>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rPr>
              <w:t>100</w:t>
            </w:r>
          </w:p>
        </w:tc>
      </w:tr>
      <w:tr w14:paraId="0C103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028858E7">
            <w:pPr>
              <w:jc w:val="center"/>
              <w:rPr>
                <w:rFonts w:hint="eastAsia" w:ascii="宋体" w:hAnsi="宋体" w:eastAsia="宋体" w:cs="宋体"/>
                <w:color w:val="000000"/>
                <w:sz w:val="18"/>
                <w:szCs w:val="18"/>
              </w:rPr>
            </w:pPr>
          </w:p>
        </w:tc>
        <w:tc>
          <w:tcPr>
            <w:tcW w:w="3246" w:type="dxa"/>
            <w:vAlign w:val="center"/>
          </w:tcPr>
          <w:p w14:paraId="07451E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耐热大肠菌群/g</w:t>
            </w:r>
          </w:p>
        </w:tc>
        <w:tc>
          <w:tcPr>
            <w:tcW w:w="3555" w:type="dxa"/>
            <w:vAlign w:val="center"/>
          </w:tcPr>
          <w:p w14:paraId="4EE8A8AE">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03C60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6D937613">
            <w:pPr>
              <w:jc w:val="center"/>
              <w:rPr>
                <w:rFonts w:hint="eastAsia" w:ascii="宋体" w:hAnsi="宋体" w:eastAsia="宋体" w:cs="宋体"/>
                <w:color w:val="000000"/>
                <w:sz w:val="18"/>
                <w:szCs w:val="18"/>
              </w:rPr>
            </w:pPr>
          </w:p>
        </w:tc>
        <w:tc>
          <w:tcPr>
            <w:tcW w:w="3246" w:type="dxa"/>
            <w:vAlign w:val="center"/>
          </w:tcPr>
          <w:p w14:paraId="514AC7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金黄色葡萄球菌/g</w:t>
            </w:r>
          </w:p>
        </w:tc>
        <w:tc>
          <w:tcPr>
            <w:tcW w:w="3555" w:type="dxa"/>
            <w:vAlign w:val="center"/>
          </w:tcPr>
          <w:p w14:paraId="74273E9C">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2F1D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B0ED42A">
            <w:pPr>
              <w:jc w:val="center"/>
              <w:rPr>
                <w:rFonts w:hint="eastAsia" w:ascii="宋体" w:hAnsi="宋体" w:eastAsia="宋体" w:cs="宋体"/>
                <w:color w:val="000000"/>
                <w:sz w:val="18"/>
                <w:szCs w:val="18"/>
              </w:rPr>
            </w:pPr>
          </w:p>
        </w:tc>
        <w:tc>
          <w:tcPr>
            <w:tcW w:w="3246" w:type="dxa"/>
            <w:vAlign w:val="center"/>
          </w:tcPr>
          <w:p w14:paraId="6CCA5F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铜绿假单胞菌/g</w:t>
            </w:r>
          </w:p>
        </w:tc>
        <w:tc>
          <w:tcPr>
            <w:tcW w:w="3555" w:type="dxa"/>
            <w:vAlign w:val="center"/>
          </w:tcPr>
          <w:p w14:paraId="1B0A3388">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7EBB1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5AC19C5C">
            <w:pPr>
              <w:jc w:val="center"/>
              <w:rPr>
                <w:rFonts w:hint="eastAsia" w:ascii="宋体" w:hAnsi="宋体" w:eastAsia="宋体" w:cs="宋体"/>
                <w:color w:val="000000"/>
                <w:sz w:val="18"/>
                <w:szCs w:val="18"/>
              </w:rPr>
            </w:pPr>
          </w:p>
        </w:tc>
        <w:tc>
          <w:tcPr>
            <w:tcW w:w="3246" w:type="dxa"/>
            <w:vAlign w:val="center"/>
          </w:tcPr>
          <w:p w14:paraId="61F109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汞/（mg/kg）</w:t>
            </w:r>
          </w:p>
        </w:tc>
        <w:tc>
          <w:tcPr>
            <w:tcW w:w="3555" w:type="dxa"/>
            <w:vAlign w:val="center"/>
          </w:tcPr>
          <w:p w14:paraId="54332D39">
            <w:pPr>
              <w:jc w:val="center"/>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rPr>
              <w:t>1.0</w:t>
            </w:r>
          </w:p>
        </w:tc>
      </w:tr>
      <w:tr w14:paraId="6C5C3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3E51CAA">
            <w:pPr>
              <w:jc w:val="center"/>
              <w:rPr>
                <w:rFonts w:hint="eastAsia" w:ascii="宋体" w:hAnsi="宋体" w:eastAsia="宋体" w:cs="宋体"/>
                <w:color w:val="000000"/>
                <w:sz w:val="18"/>
                <w:szCs w:val="18"/>
              </w:rPr>
            </w:pPr>
          </w:p>
        </w:tc>
        <w:tc>
          <w:tcPr>
            <w:tcW w:w="3246" w:type="dxa"/>
            <w:vAlign w:val="center"/>
          </w:tcPr>
          <w:p w14:paraId="13205A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铅/（mg/kg）</w:t>
            </w:r>
          </w:p>
        </w:tc>
        <w:tc>
          <w:tcPr>
            <w:tcW w:w="3555" w:type="dxa"/>
            <w:vAlign w:val="center"/>
          </w:tcPr>
          <w:p w14:paraId="279169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25</w:t>
            </w:r>
            <w:r>
              <w:rPr>
                <w:rFonts w:hint="eastAsia" w:ascii="宋体" w:hAnsi="宋体" w:eastAsia="宋体" w:cs="宋体"/>
                <w:sz w:val="18"/>
                <w:szCs w:val="18"/>
              </w:rPr>
              <w:t>.0</w:t>
            </w:r>
          </w:p>
        </w:tc>
      </w:tr>
      <w:tr w14:paraId="75465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638B9DD9">
            <w:pPr>
              <w:jc w:val="center"/>
              <w:rPr>
                <w:rFonts w:hint="eastAsia" w:ascii="宋体" w:hAnsi="宋体" w:eastAsia="宋体" w:cs="宋体"/>
                <w:color w:val="000000"/>
                <w:sz w:val="18"/>
                <w:szCs w:val="18"/>
              </w:rPr>
            </w:pPr>
          </w:p>
        </w:tc>
        <w:tc>
          <w:tcPr>
            <w:tcW w:w="3246" w:type="dxa"/>
            <w:vAlign w:val="center"/>
          </w:tcPr>
          <w:p w14:paraId="560219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镉/（mg/kg）</w:t>
            </w:r>
          </w:p>
        </w:tc>
        <w:tc>
          <w:tcPr>
            <w:tcW w:w="3555" w:type="dxa"/>
            <w:vAlign w:val="center"/>
          </w:tcPr>
          <w:p w14:paraId="1659BF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1</w:t>
            </w:r>
            <w:r>
              <w:rPr>
                <w:rFonts w:hint="eastAsia" w:ascii="宋体" w:hAnsi="宋体" w:eastAsia="宋体" w:cs="宋体"/>
                <w:sz w:val="18"/>
                <w:szCs w:val="18"/>
              </w:rPr>
              <w:t>.0</w:t>
            </w:r>
          </w:p>
        </w:tc>
      </w:tr>
      <w:tr w14:paraId="48132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7353FB86">
            <w:pPr>
              <w:jc w:val="center"/>
              <w:rPr>
                <w:rFonts w:hint="eastAsia" w:ascii="宋体" w:hAnsi="宋体" w:eastAsia="宋体" w:cs="宋体"/>
                <w:color w:val="000000"/>
                <w:sz w:val="18"/>
                <w:szCs w:val="18"/>
              </w:rPr>
            </w:pPr>
          </w:p>
        </w:tc>
        <w:tc>
          <w:tcPr>
            <w:tcW w:w="3246" w:type="dxa"/>
            <w:vAlign w:val="center"/>
          </w:tcPr>
          <w:p w14:paraId="214C9C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砷/（mg/kg）</w:t>
            </w:r>
          </w:p>
        </w:tc>
        <w:tc>
          <w:tcPr>
            <w:tcW w:w="3555" w:type="dxa"/>
            <w:vAlign w:val="center"/>
          </w:tcPr>
          <w:p w14:paraId="628518EC">
            <w:pPr>
              <w:jc w:val="center"/>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4</w:t>
            </w:r>
            <w:r>
              <w:rPr>
                <w:rFonts w:hint="eastAsia" w:ascii="宋体" w:hAnsi="宋体" w:eastAsia="宋体" w:cs="宋体"/>
                <w:sz w:val="18"/>
                <w:szCs w:val="18"/>
              </w:rPr>
              <w:t>.0</w:t>
            </w:r>
          </w:p>
        </w:tc>
      </w:tr>
    </w:tbl>
    <w:p w14:paraId="3027271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6</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试验</w:t>
      </w:r>
      <w:r>
        <w:rPr>
          <w:rFonts w:hint="eastAsia" w:ascii="黑体" w:hAnsi="黑体" w:eastAsia="黑体" w:cs="黑体"/>
          <w:sz w:val="21"/>
          <w:szCs w:val="21"/>
        </w:rPr>
        <w:t>方法</w:t>
      </w:r>
    </w:p>
    <w:p w14:paraId="7883F39B">
      <w:pPr>
        <w:widowControl/>
        <w:spacing w:line="360" w:lineRule="auto"/>
        <w:ind w:firstLine="420"/>
        <w:rPr>
          <w:rFonts w:hint="eastAsia" w:ascii="宋体" w:hAnsi="宋体" w:eastAsia="宋体" w:cs="宋体"/>
          <w:sz w:val="21"/>
          <w:szCs w:val="21"/>
        </w:rPr>
      </w:pPr>
      <w:r>
        <w:rPr>
          <w:rFonts w:hint="eastAsia" w:ascii="宋体" w:hAnsi="宋体" w:eastAsia="宋体" w:cs="宋体"/>
          <w:kern w:val="0"/>
          <w:sz w:val="21"/>
          <w:szCs w:val="21"/>
        </w:rPr>
        <w:t>警示——本文件的</w:t>
      </w:r>
      <w:r>
        <w:rPr>
          <w:rFonts w:hint="eastAsia" w:ascii="宋体" w:hAnsi="宋体" w:eastAsia="宋体" w:cs="宋体"/>
          <w:kern w:val="0"/>
          <w:sz w:val="21"/>
          <w:szCs w:val="21"/>
          <w:lang w:val="en-US" w:eastAsia="zh-CN"/>
        </w:rPr>
        <w:t>试验</w:t>
      </w:r>
      <w:r>
        <w:rPr>
          <w:rFonts w:hint="eastAsia" w:ascii="宋体" w:hAnsi="宋体" w:eastAsia="宋体" w:cs="宋体"/>
          <w:kern w:val="0"/>
          <w:sz w:val="21"/>
          <w:szCs w:val="21"/>
        </w:rPr>
        <w:t>方法中使用的部分试剂具有毒性或腐蚀性，操作时应采取适当的安全和防护措施。</w:t>
      </w:r>
    </w:p>
    <w:p w14:paraId="4BAA5E9B">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5.1 一般规定</w:t>
      </w:r>
    </w:p>
    <w:p w14:paraId="1F15AA9E">
      <w:pPr>
        <w:widowControl/>
        <w:spacing w:line="360" w:lineRule="auto"/>
        <w:rPr>
          <w:rFonts w:hint="eastAsia" w:ascii="宋体" w:hAnsi="宋体" w:eastAsia="宋体" w:cs="宋体"/>
          <w:kern w:val="0"/>
          <w:sz w:val="21"/>
          <w:szCs w:val="21"/>
        </w:rPr>
      </w:pPr>
      <w:r>
        <w:rPr>
          <w:rFonts w:hint="eastAsia" w:ascii="黑体" w:hAnsi="黑体" w:eastAsia="黑体" w:cs="黑体"/>
          <w:b w:val="0"/>
          <w:bCs/>
          <w:sz w:val="21"/>
          <w:szCs w:val="21"/>
        </w:rPr>
        <w:t>5.1.1</w:t>
      </w:r>
      <w:r>
        <w:rPr>
          <w:rFonts w:hint="eastAsia" w:ascii="宋体" w:hAnsi="宋体" w:eastAsia="宋体" w:cs="宋体"/>
          <w:kern w:val="0"/>
          <w:sz w:val="21"/>
          <w:szCs w:val="21"/>
        </w:rPr>
        <w:t xml:space="preserve"> 除测定挥发物及有特殊要求的项目外，样品均应在105</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℃～110</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℃下烘2h并在干燥器中冷却至室温后方可称量。 </w:t>
      </w:r>
    </w:p>
    <w:p w14:paraId="363FC97E">
      <w:pPr>
        <w:widowControl/>
        <w:rPr>
          <w:rFonts w:hint="eastAsia" w:ascii="宋体" w:hAnsi="宋体" w:eastAsia="宋体" w:cs="宋体"/>
          <w:kern w:val="0"/>
          <w:sz w:val="21"/>
          <w:szCs w:val="21"/>
        </w:rPr>
      </w:pPr>
    </w:p>
    <w:p w14:paraId="07C57273">
      <w:pPr>
        <w:widowControl/>
        <w:spacing w:line="360" w:lineRule="auto"/>
        <w:rPr>
          <w:rFonts w:hint="eastAsia" w:ascii="宋体" w:hAnsi="宋体" w:eastAsia="宋体" w:cs="宋体"/>
          <w:bCs/>
          <w:kern w:val="0"/>
          <w:sz w:val="21"/>
          <w:szCs w:val="21"/>
        </w:rPr>
      </w:pPr>
      <w:r>
        <w:rPr>
          <w:rFonts w:hint="eastAsia" w:ascii="黑体" w:hAnsi="黑体" w:eastAsia="黑体" w:cs="黑体"/>
          <w:b w:val="0"/>
          <w:bCs/>
          <w:sz w:val="21"/>
          <w:szCs w:val="21"/>
        </w:rPr>
        <w:t>5.1.2</w:t>
      </w:r>
      <w:r>
        <w:rPr>
          <w:rFonts w:hint="eastAsia" w:ascii="宋体" w:hAnsi="宋体" w:eastAsia="宋体" w:cs="宋体"/>
          <w:b w:val="0"/>
          <w:bCs/>
          <w:sz w:val="21"/>
          <w:szCs w:val="21"/>
        </w:rPr>
        <w:t xml:space="preserve"> </w:t>
      </w:r>
      <w:r>
        <w:rPr>
          <w:rFonts w:hint="eastAsia" w:ascii="宋体" w:hAnsi="宋体" w:eastAsia="宋体" w:cs="宋体"/>
          <w:bCs/>
          <w:kern w:val="0"/>
          <w:sz w:val="21"/>
          <w:szCs w:val="21"/>
        </w:rPr>
        <w:t xml:space="preserve">本文件所用试剂和水在没有注明其他要求时，均指分析纯试剂和GB/T 6682中规定的一级水。所用溶液在未注明用何种溶剂配制时，均指水溶液。 </w:t>
      </w:r>
    </w:p>
    <w:p w14:paraId="50B30327">
      <w:pPr>
        <w:widowControl/>
        <w:rPr>
          <w:rFonts w:hint="eastAsia" w:ascii="宋体" w:hAnsi="宋体" w:eastAsia="宋体" w:cs="宋体"/>
          <w:bCs/>
          <w:kern w:val="0"/>
          <w:sz w:val="21"/>
          <w:szCs w:val="21"/>
        </w:rPr>
      </w:pPr>
    </w:p>
    <w:p w14:paraId="67BB40B9">
      <w:pPr>
        <w:widowControl/>
        <w:spacing w:line="360" w:lineRule="auto"/>
        <w:rPr>
          <w:rFonts w:hint="eastAsia" w:ascii="宋体" w:hAnsi="宋体" w:eastAsia="宋体" w:cs="宋体"/>
          <w:kern w:val="0"/>
          <w:sz w:val="21"/>
          <w:szCs w:val="21"/>
        </w:rPr>
      </w:pPr>
      <w:r>
        <w:rPr>
          <w:rFonts w:hint="eastAsia" w:ascii="黑体" w:hAnsi="黑体" w:eastAsia="黑体" w:cs="黑体"/>
          <w:b w:val="0"/>
          <w:bCs/>
          <w:sz w:val="21"/>
          <w:szCs w:val="21"/>
        </w:rPr>
        <w:t>5.1.3</w:t>
      </w:r>
      <w:r>
        <w:rPr>
          <w:rFonts w:hint="eastAsia" w:ascii="宋体" w:hAnsi="宋体" w:eastAsia="宋体" w:cs="宋体"/>
          <w:b w:val="0"/>
          <w:bCs/>
          <w:sz w:val="21"/>
          <w:szCs w:val="21"/>
        </w:rPr>
        <w:t xml:space="preserve"> </w:t>
      </w:r>
      <w:r>
        <w:rPr>
          <w:rFonts w:hint="eastAsia" w:ascii="宋体" w:hAnsi="宋体" w:eastAsia="宋体" w:cs="宋体"/>
          <w:kern w:val="0"/>
          <w:sz w:val="21"/>
          <w:szCs w:val="21"/>
        </w:rPr>
        <w:t>除非另有说明，样品称量均应精确至0.1</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mg。本文件中所指“恒重”系指两次称量之差不大于2</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mg。 </w:t>
      </w:r>
    </w:p>
    <w:p w14:paraId="4B35E3C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5.2 感官</w:t>
      </w:r>
      <w:r>
        <w:rPr>
          <w:rFonts w:hint="eastAsia" w:ascii="黑体" w:hAnsi="黑体" w:eastAsia="黑体" w:cs="黑体"/>
          <w:sz w:val="21"/>
          <w:szCs w:val="21"/>
          <w:lang w:val="en-US" w:eastAsia="zh-CN"/>
        </w:rPr>
        <w:t>指标判定</w:t>
      </w:r>
    </w:p>
    <w:p w14:paraId="475ED029">
      <w:pPr>
        <w:spacing w:before="120" w:after="120" w:line="360" w:lineRule="auto"/>
        <w:ind w:firstLine="420"/>
        <w:jc w:val="left"/>
        <w:rPr>
          <w:rFonts w:hint="eastAsia" w:ascii="宋体" w:hAnsi="宋体" w:eastAsia="宋体" w:cs="宋体"/>
          <w:sz w:val="21"/>
          <w:szCs w:val="21"/>
          <w:lang w:eastAsia="zh-CN"/>
        </w:rPr>
      </w:pPr>
      <w:r>
        <w:rPr>
          <w:rFonts w:hint="eastAsia" w:ascii="宋体" w:hAnsi="宋体" w:eastAsia="宋体" w:cs="宋体"/>
          <w:sz w:val="21"/>
          <w:szCs w:val="21"/>
        </w:rPr>
        <w:t>取适量</w:t>
      </w:r>
      <w:r>
        <w:rPr>
          <w:rFonts w:hint="eastAsia" w:ascii="宋体" w:hAnsi="宋体" w:eastAsia="宋体" w:cs="宋体"/>
          <w:sz w:val="21"/>
          <w:szCs w:val="21"/>
          <w:lang w:val="en-US" w:eastAsia="zh-CN"/>
        </w:rPr>
        <w:t>样品</w:t>
      </w:r>
      <w:r>
        <w:rPr>
          <w:rFonts w:hint="eastAsia" w:ascii="宋体" w:hAnsi="宋体" w:eastAsia="宋体" w:cs="宋体"/>
          <w:sz w:val="21"/>
          <w:szCs w:val="21"/>
        </w:rPr>
        <w:t>置于清洁、干燥的玻璃器皿中，在自然光线下观察其色泽，状态，并嗅气味</w:t>
      </w:r>
      <w:r>
        <w:rPr>
          <w:rFonts w:hint="eastAsia" w:ascii="宋体" w:hAnsi="宋体" w:eastAsia="宋体" w:cs="宋体"/>
          <w:sz w:val="21"/>
          <w:szCs w:val="21"/>
          <w:lang w:eastAsia="zh-CN"/>
        </w:rPr>
        <w:t>。</w:t>
      </w:r>
    </w:p>
    <w:p w14:paraId="21FE2598">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rPr>
        <w:t xml:space="preserve">5.3 </w:t>
      </w:r>
      <w:r>
        <w:rPr>
          <w:rFonts w:hint="eastAsia" w:ascii="黑体" w:hAnsi="黑体" w:eastAsia="黑体" w:cs="黑体"/>
          <w:sz w:val="21"/>
          <w:szCs w:val="21"/>
          <w:lang w:val="en-US" w:eastAsia="zh-CN"/>
        </w:rPr>
        <w:t>理化指标判定</w:t>
      </w:r>
    </w:p>
    <w:p w14:paraId="6898966C">
      <w:pPr>
        <w:spacing w:before="320" w:after="120" w:line="288" w:lineRule="auto"/>
        <w:jc w:val="left"/>
        <w:outlineLvl w:val="1"/>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5.3.1 </w:t>
      </w:r>
      <w:r>
        <w:rPr>
          <w:rFonts w:hint="eastAsia" w:ascii="黑体" w:hAnsi="黑体" w:eastAsia="黑体" w:cs="黑体"/>
          <w:sz w:val="21"/>
          <w:szCs w:val="21"/>
        </w:rPr>
        <w:t>纯度</w:t>
      </w:r>
      <w:r>
        <w:rPr>
          <w:rFonts w:hint="eastAsia" w:ascii="黑体" w:hAnsi="黑体" w:eastAsia="黑体" w:cs="黑体"/>
          <w:sz w:val="21"/>
          <w:szCs w:val="21"/>
          <w:lang w:val="en-US" w:eastAsia="zh-CN"/>
        </w:rPr>
        <w:t>的测定</w:t>
      </w:r>
    </w:p>
    <w:p w14:paraId="31AB7334">
      <w:pPr>
        <w:spacing w:before="120" w:after="120" w:line="360" w:lineRule="auto"/>
        <w:ind w:firstLine="420"/>
        <w:jc w:val="left"/>
        <w:rPr>
          <w:rFonts w:hint="eastAsia" w:ascii="宋体" w:hAnsi="宋体" w:eastAsia="宋体" w:cs="宋体"/>
          <w:sz w:val="21"/>
          <w:szCs w:val="21"/>
          <w:lang w:eastAsia="zh-CN"/>
        </w:rPr>
      </w:pPr>
      <w:r>
        <w:rPr>
          <w:rFonts w:hint="eastAsia" w:ascii="宋体" w:hAnsi="宋体" w:eastAsia="宋体" w:cs="宋体"/>
          <w:sz w:val="21"/>
          <w:szCs w:val="21"/>
        </w:rPr>
        <w:t>按照SY</w:t>
      </w:r>
      <w:r>
        <w:rPr>
          <w:rFonts w:hint="eastAsia" w:ascii="宋体" w:hAnsi="宋体" w:eastAsia="宋体" w:cs="宋体"/>
          <w:sz w:val="21"/>
          <w:szCs w:val="21"/>
          <w:lang w:val="en-US" w:eastAsia="zh-CN"/>
        </w:rPr>
        <w:t>/</w:t>
      </w:r>
      <w:r>
        <w:rPr>
          <w:rFonts w:hint="eastAsia" w:ascii="宋体" w:hAnsi="宋体" w:eastAsia="宋体" w:cs="宋体"/>
          <w:sz w:val="21"/>
          <w:szCs w:val="21"/>
        </w:rPr>
        <w:t>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5163-2018规定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r>
        <w:rPr>
          <w:rFonts w:hint="eastAsia" w:ascii="宋体" w:hAnsi="宋体" w:eastAsia="宋体" w:cs="宋体"/>
          <w:sz w:val="21"/>
          <w:szCs w:val="21"/>
          <w:lang w:eastAsia="zh-CN"/>
        </w:rPr>
        <w:t>。</w:t>
      </w:r>
    </w:p>
    <w:p w14:paraId="7054A827">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3.2</w:t>
      </w:r>
      <w:r>
        <w:rPr>
          <w:rFonts w:hint="eastAsia" w:ascii="黑体" w:hAnsi="黑体" w:eastAsia="黑体" w:cs="黑体"/>
          <w:sz w:val="21"/>
          <w:szCs w:val="21"/>
        </w:rPr>
        <w:t xml:space="preserve"> 105℃挥发物的测定</w:t>
      </w:r>
    </w:p>
    <w:p w14:paraId="69067164">
      <w:pPr>
        <w:spacing w:line="360" w:lineRule="auto"/>
        <w:ind w:left="0" w:firstLine="420" w:firstLineChars="0"/>
        <w:jc w:val="left"/>
        <w:rPr>
          <w:rFonts w:hint="eastAsia" w:ascii="宋体" w:hAnsi="宋体" w:eastAsia="宋体" w:cs="宋体"/>
          <w:sz w:val="21"/>
          <w:szCs w:val="21"/>
        </w:rPr>
      </w:pPr>
      <w:r>
        <w:rPr>
          <w:rFonts w:hint="eastAsia" w:ascii="宋体" w:hAnsi="宋体" w:eastAsia="宋体" w:cs="宋体"/>
          <w:sz w:val="21"/>
          <w:szCs w:val="21"/>
        </w:rPr>
        <w:t>按照</w:t>
      </w:r>
      <w:bookmarkStart w:id="0" w:name="OLE_LINK10"/>
      <w:bookmarkStart w:id="1" w:name="OLE_LINK9"/>
      <w:r>
        <w:rPr>
          <w:rFonts w:hint="eastAsia" w:ascii="宋体" w:hAnsi="宋体" w:eastAsia="宋体" w:cs="宋体"/>
          <w:sz w:val="21"/>
          <w:szCs w:val="21"/>
        </w:rPr>
        <w:t>GB/T 5211.3</w:t>
      </w:r>
      <w:bookmarkEnd w:id="0"/>
      <w:bookmarkEnd w:id="1"/>
      <w:r>
        <w:rPr>
          <w:rFonts w:hint="eastAsia" w:ascii="宋体" w:hAnsi="宋体" w:eastAsia="宋体" w:cs="宋体"/>
          <w:sz w:val="21"/>
          <w:szCs w:val="21"/>
          <w:lang w:val="en-US" w:eastAsia="zh-CN"/>
        </w:rPr>
        <w:t xml:space="preserve"> 第3部分：105 ℃挥发物的测定A法</w:t>
      </w:r>
      <w:r>
        <w:rPr>
          <w:rFonts w:hint="eastAsia" w:ascii="宋体" w:hAnsi="宋体" w:eastAsia="宋体" w:cs="宋体"/>
          <w:sz w:val="21"/>
          <w:szCs w:val="21"/>
        </w:rPr>
        <w:t>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060A4F6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3.3</w:t>
      </w:r>
      <w:r>
        <w:rPr>
          <w:rFonts w:hint="eastAsia" w:ascii="黑体" w:hAnsi="黑体" w:eastAsia="黑体" w:cs="黑体"/>
          <w:sz w:val="21"/>
          <w:szCs w:val="21"/>
        </w:rPr>
        <w:t xml:space="preserve"> 白度的测定</w:t>
      </w:r>
    </w:p>
    <w:p w14:paraId="55897385">
      <w:pPr>
        <w:keepNext w:val="0"/>
        <w:keepLines w:val="0"/>
        <w:widowControl/>
        <w:suppressLineNumbers w:val="0"/>
        <w:ind w:firstLine="420" w:firstLineChars="0"/>
        <w:jc w:val="left"/>
        <w:rPr>
          <w:rFonts w:hint="eastAsia" w:ascii="宋体" w:hAnsi="宋体" w:eastAsia="宋体" w:cs="宋体"/>
          <w:sz w:val="21"/>
          <w:szCs w:val="21"/>
        </w:rPr>
      </w:pPr>
      <w:r>
        <w:rPr>
          <w:rFonts w:hint="eastAsia" w:ascii="宋体" w:hAnsi="宋体" w:eastAsia="宋体" w:cs="宋体"/>
          <w:sz w:val="21"/>
          <w:szCs w:val="21"/>
        </w:rPr>
        <w:t>按照GB/T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23774</w:t>
      </w:r>
      <w:r>
        <w:rPr>
          <w:rFonts w:hint="eastAsia" w:ascii="宋体" w:hAnsi="宋体" w:eastAsia="宋体" w:cs="宋体"/>
          <w:kern w:val="0"/>
          <w:sz w:val="21"/>
          <w:szCs w:val="21"/>
          <w:lang w:val="en-US" w:eastAsia="zh-CN" w:bidi="ar"/>
        </w:rPr>
        <w:t>通用方法</w:t>
      </w:r>
      <w:r>
        <w:rPr>
          <w:rFonts w:hint="eastAsia" w:ascii="宋体" w:hAnsi="宋体" w:eastAsia="宋体" w:cs="宋体"/>
          <w:sz w:val="21"/>
          <w:szCs w:val="21"/>
        </w:rPr>
        <w:t>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1BDD3F9A">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3.4</w:t>
      </w:r>
      <w:r>
        <w:rPr>
          <w:rFonts w:hint="eastAsia" w:ascii="黑体" w:hAnsi="黑体" w:eastAsia="黑体" w:cs="黑体"/>
          <w:sz w:val="21"/>
          <w:szCs w:val="21"/>
        </w:rPr>
        <w:t xml:space="preserve"> pH</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10%水溶液</w:t>
      </w:r>
      <w:r>
        <w:rPr>
          <w:rFonts w:hint="eastAsia" w:ascii="黑体" w:hAnsi="黑体" w:eastAsia="黑体" w:cs="黑体"/>
          <w:sz w:val="21"/>
          <w:szCs w:val="21"/>
          <w:lang w:eastAsia="zh-CN"/>
        </w:rPr>
        <w:t>）</w:t>
      </w:r>
      <w:r>
        <w:rPr>
          <w:rFonts w:hint="eastAsia" w:ascii="黑体" w:hAnsi="黑体" w:eastAsia="黑体" w:cs="黑体"/>
          <w:sz w:val="21"/>
          <w:szCs w:val="21"/>
        </w:rPr>
        <w:t>的测定</w:t>
      </w:r>
    </w:p>
    <w:p w14:paraId="09E6ACBA">
      <w:pPr>
        <w:spacing w:line="360" w:lineRule="auto"/>
        <w:ind w:firstLine="420"/>
        <w:rPr>
          <w:rFonts w:hint="eastAsia"/>
        </w:rPr>
      </w:pPr>
      <w:r>
        <w:rPr>
          <w:rFonts w:hint="eastAsia" w:ascii="宋体" w:hAnsi="宋体" w:eastAsia="宋体" w:cs="宋体"/>
          <w:sz w:val="21"/>
          <w:szCs w:val="21"/>
        </w:rPr>
        <w:t>按照</w:t>
      </w:r>
      <w:r>
        <w:rPr>
          <w:rFonts w:hint="eastAsia" w:ascii="宋体" w:hAnsi="宋体" w:eastAsia="宋体" w:cs="宋体"/>
          <w:kern w:val="0"/>
          <w:sz w:val="21"/>
          <w:szCs w:val="21"/>
          <w:lang w:val="en-US" w:eastAsia="zh-CN" w:bidi="ar"/>
        </w:rPr>
        <w:t>GB/T 5211.6 第6部分：水悬浮液pH值规定的方法</w:t>
      </w:r>
      <w:r>
        <w:rPr>
          <w:rFonts w:hint="eastAsia" w:ascii="宋体" w:hAnsi="宋体" w:eastAsia="宋体" w:cs="宋体"/>
          <w:sz w:val="21"/>
          <w:szCs w:val="21"/>
        </w:rPr>
        <w:t>测定。</w:t>
      </w:r>
    </w:p>
    <w:p w14:paraId="166ED70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3.5</w:t>
      </w:r>
      <w:r>
        <w:rPr>
          <w:rFonts w:hint="eastAsia" w:ascii="黑体" w:hAnsi="黑体" w:eastAsia="黑体" w:cs="黑体"/>
          <w:sz w:val="21"/>
          <w:szCs w:val="21"/>
        </w:rPr>
        <w:t xml:space="preserve"> 平均粒径D50的测定</w:t>
      </w:r>
    </w:p>
    <w:p w14:paraId="64C0238C">
      <w:pPr>
        <w:spacing w:before="120" w:after="120" w:line="360" w:lineRule="auto"/>
        <w:ind w:left="453"/>
        <w:jc w:val="left"/>
        <w:rPr>
          <w:rFonts w:hint="eastAsia" w:ascii="宋体" w:hAnsi="宋体" w:eastAsia="宋体" w:cs="宋体"/>
          <w:sz w:val="21"/>
          <w:szCs w:val="21"/>
        </w:rPr>
      </w:pPr>
      <w:r>
        <w:rPr>
          <w:rFonts w:hint="eastAsia" w:ascii="宋体" w:hAnsi="宋体" w:eastAsia="宋体" w:cs="宋体"/>
          <w:sz w:val="21"/>
          <w:szCs w:val="21"/>
        </w:rPr>
        <w:t>按照GB/T 19077规定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7534BCF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3.6</w:t>
      </w:r>
      <w:r>
        <w:rPr>
          <w:rFonts w:hint="eastAsia" w:ascii="黑体" w:hAnsi="黑体" w:eastAsia="黑体" w:cs="黑体"/>
          <w:sz w:val="21"/>
          <w:szCs w:val="21"/>
        </w:rPr>
        <w:t xml:space="preserve"> 吸油量的测定</w:t>
      </w:r>
    </w:p>
    <w:p w14:paraId="2F522555">
      <w:pPr>
        <w:keepNext w:val="0"/>
        <w:keepLines w:val="0"/>
        <w:widowControl/>
        <w:suppressLineNumbers w:val="0"/>
        <w:ind w:left="0" w:firstLine="420"/>
        <w:jc w:val="left"/>
        <w:rPr>
          <w:rFonts w:hint="eastAsia" w:ascii="宋体" w:hAnsi="宋体" w:eastAsia="宋体" w:cs="宋体"/>
          <w:sz w:val="21"/>
          <w:szCs w:val="21"/>
        </w:rPr>
      </w:pPr>
      <w:r>
        <w:rPr>
          <w:rFonts w:hint="eastAsia" w:ascii="宋体" w:hAnsi="宋体" w:eastAsia="宋体" w:cs="宋体"/>
          <w:sz w:val="21"/>
          <w:szCs w:val="21"/>
        </w:rPr>
        <w:t>按照</w:t>
      </w:r>
      <w:r>
        <w:rPr>
          <w:rFonts w:hint="eastAsia" w:ascii="宋体" w:hAnsi="宋体" w:eastAsia="宋体" w:cs="宋体"/>
          <w:kern w:val="0"/>
          <w:sz w:val="21"/>
          <w:szCs w:val="21"/>
          <w:lang w:val="en-US" w:eastAsia="zh-CN" w:bidi="ar"/>
        </w:rPr>
        <w:t>GB/T 5211.15 第15部分：吸油量的测定</w:t>
      </w:r>
      <w:r>
        <w:rPr>
          <w:rFonts w:hint="eastAsia" w:ascii="宋体" w:hAnsi="宋体" w:eastAsia="宋体" w:cs="宋体"/>
          <w:sz w:val="21"/>
          <w:szCs w:val="21"/>
        </w:rPr>
        <w:t>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03472885">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rPr>
        <w:t>5.</w:t>
      </w:r>
      <w:r>
        <w:rPr>
          <w:rFonts w:hint="eastAsia" w:ascii="黑体" w:hAnsi="黑体" w:eastAsia="黑体" w:cs="黑体"/>
          <w:sz w:val="21"/>
          <w:szCs w:val="21"/>
          <w:lang w:val="en-US" w:eastAsia="zh-CN"/>
        </w:rPr>
        <w:t>4 微生物指标的判定</w:t>
      </w:r>
    </w:p>
    <w:p w14:paraId="0B485379">
      <w:pPr>
        <w:spacing w:before="120" w:after="120" w:line="360" w:lineRule="auto"/>
        <w:ind w:left="453"/>
        <w:jc w:val="left"/>
        <w:rPr>
          <w:rFonts w:hint="eastAsia" w:ascii="宋体" w:hAnsi="宋体" w:eastAsia="宋体" w:cs="宋体"/>
          <w:sz w:val="21"/>
          <w:szCs w:val="21"/>
          <w:lang w:eastAsia="zh-CN"/>
        </w:rPr>
      </w:pPr>
      <w:r>
        <w:rPr>
          <w:rFonts w:hint="eastAsia" w:ascii="宋体" w:hAnsi="宋体" w:eastAsia="宋体" w:cs="宋体"/>
          <w:sz w:val="21"/>
          <w:szCs w:val="21"/>
        </w:rPr>
        <w:t>按照《化妆品安全技术规范》（2015年版）第五章</w:t>
      </w:r>
      <w:r>
        <w:rPr>
          <w:rFonts w:hint="eastAsia" w:ascii="宋体" w:hAnsi="宋体" w:eastAsia="宋体" w:cs="宋体"/>
          <w:sz w:val="21"/>
          <w:szCs w:val="21"/>
          <w:lang w:val="en-US" w:eastAsia="zh-CN"/>
        </w:rPr>
        <w:t>规定的方法</w:t>
      </w:r>
      <w:r>
        <w:rPr>
          <w:rFonts w:hint="eastAsia" w:ascii="宋体" w:hAnsi="宋体" w:eastAsia="宋体" w:cs="宋体"/>
          <w:sz w:val="21"/>
          <w:szCs w:val="21"/>
        </w:rPr>
        <w:t>测定</w:t>
      </w:r>
      <w:r>
        <w:rPr>
          <w:rFonts w:hint="eastAsia" w:ascii="宋体" w:hAnsi="宋体" w:eastAsia="宋体" w:cs="宋体"/>
          <w:sz w:val="21"/>
          <w:szCs w:val="21"/>
          <w:lang w:eastAsia="zh-CN"/>
        </w:rPr>
        <w:t>。</w:t>
      </w:r>
    </w:p>
    <w:p w14:paraId="02A5F613">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5.5 有害物质指标的判定</w:t>
      </w:r>
    </w:p>
    <w:p w14:paraId="4DE07714">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 xml:space="preserve">5.5.1 </w:t>
      </w:r>
      <w:r>
        <w:rPr>
          <w:rFonts w:hint="eastAsia" w:ascii="黑体" w:hAnsi="黑体" w:eastAsia="黑体" w:cs="黑体"/>
          <w:sz w:val="21"/>
          <w:szCs w:val="21"/>
        </w:rPr>
        <w:t>汞（Hg）的测定</w:t>
      </w:r>
    </w:p>
    <w:p w14:paraId="2C0CEA07">
      <w:pPr>
        <w:spacing w:before="120" w:after="120" w:line="360" w:lineRule="auto"/>
        <w:ind w:firstLine="420" w:firstLineChars="0"/>
        <w:jc w:val="left"/>
        <w:rPr>
          <w:rFonts w:hint="eastAsia" w:ascii="宋体" w:hAnsi="宋体" w:eastAsia="宋体" w:cs="宋体"/>
          <w:sz w:val="21"/>
          <w:szCs w:val="21"/>
        </w:rPr>
      </w:pPr>
      <w:r>
        <w:rPr>
          <w:rFonts w:hint="eastAsia" w:ascii="宋体" w:hAnsi="宋体" w:eastAsia="宋体" w:cs="宋体"/>
          <w:sz w:val="21"/>
          <w:szCs w:val="21"/>
        </w:rPr>
        <w:t>按照《化妆品安全技术规范》（2015年版）第四章1.2第一法规定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1A3478CA">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 xml:space="preserve">5.2 </w:t>
      </w:r>
      <w:r>
        <w:rPr>
          <w:rFonts w:hint="eastAsia" w:ascii="黑体" w:hAnsi="黑体" w:eastAsia="黑体" w:cs="黑体"/>
          <w:sz w:val="21"/>
          <w:szCs w:val="21"/>
        </w:rPr>
        <w:t>铅（Pb）的测定</w:t>
      </w:r>
    </w:p>
    <w:p w14:paraId="3892EE21">
      <w:pPr>
        <w:spacing w:line="240" w:lineRule="auto"/>
        <w:ind w:firstLine="420" w:firstLineChars="0"/>
        <w:jc w:val="left"/>
        <w:rPr>
          <w:rFonts w:hint="eastAsia" w:ascii="宋体" w:hAnsi="宋体" w:eastAsia="宋体" w:cs="宋体"/>
          <w:sz w:val="21"/>
          <w:szCs w:val="21"/>
        </w:rPr>
      </w:pPr>
      <w:r>
        <w:rPr>
          <w:rFonts w:hint="eastAsia" w:ascii="宋体" w:hAnsi="宋体" w:eastAsia="宋体" w:cs="宋体"/>
          <w:sz w:val="21"/>
          <w:szCs w:val="21"/>
        </w:rPr>
        <w:t>按照《化妆品安全技术规范》（2015年版）第四章1.3第一法规定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5FE90D5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5.3</w:t>
      </w:r>
      <w:r>
        <w:rPr>
          <w:rFonts w:hint="eastAsia" w:ascii="黑体" w:hAnsi="黑体" w:eastAsia="黑体" w:cs="黑体"/>
          <w:sz w:val="21"/>
          <w:szCs w:val="21"/>
        </w:rPr>
        <w:t xml:space="preserve"> 砷（As）的测定</w:t>
      </w:r>
    </w:p>
    <w:p w14:paraId="42C886A4">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按照《化妆品安全技术规范》（2015年版）第四章1.4第一法规定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7F702664">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5.</w:t>
      </w:r>
      <w:r>
        <w:rPr>
          <w:rFonts w:hint="eastAsia" w:ascii="黑体" w:hAnsi="黑体" w:eastAsia="黑体" w:cs="黑体"/>
          <w:sz w:val="21"/>
          <w:szCs w:val="21"/>
          <w:lang w:val="en-US" w:eastAsia="zh-CN"/>
        </w:rPr>
        <w:t xml:space="preserve">5.4 </w:t>
      </w:r>
      <w:r>
        <w:rPr>
          <w:rFonts w:hint="eastAsia" w:ascii="黑体" w:hAnsi="黑体" w:eastAsia="黑体" w:cs="黑体"/>
          <w:sz w:val="21"/>
          <w:szCs w:val="21"/>
        </w:rPr>
        <w:t>镉（Pb）的测定</w:t>
      </w:r>
    </w:p>
    <w:p w14:paraId="2D16981C">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按照《化妆品安全技术规范》（2015年版）第四章1.5规定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080A5853">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6 检验规则 </w:t>
      </w:r>
    </w:p>
    <w:p w14:paraId="564457A4">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6.1 </w:t>
      </w:r>
      <w:r>
        <w:rPr>
          <w:rFonts w:hint="eastAsia" w:ascii="黑体" w:hAnsi="黑体" w:eastAsia="黑体" w:cs="黑体"/>
          <w:sz w:val="21"/>
          <w:szCs w:val="21"/>
          <w:lang w:val="en-US" w:eastAsia="zh-CN"/>
        </w:rPr>
        <w:t>抽样</w:t>
      </w:r>
    </w:p>
    <w:p w14:paraId="3CBFF0E0">
      <w:pPr>
        <w:widowControl/>
        <w:spacing w:before="120" w:after="120" w:line="360" w:lineRule="auto"/>
        <w:ind w:firstLine="420"/>
        <w:jc w:val="left"/>
        <w:rPr>
          <w:rFonts w:hint="eastAsia" w:ascii="宋体" w:hAnsi="宋体" w:eastAsia="宋体" w:cs="宋体"/>
          <w:szCs w:val="21"/>
          <w:lang w:val="en-US" w:eastAsia="zh-CN"/>
        </w:rPr>
      </w:pPr>
      <w:r>
        <w:rPr>
          <w:rFonts w:hint="eastAsia" w:ascii="宋体" w:hAnsi="宋体" w:eastAsia="宋体" w:cs="宋体"/>
          <w:sz w:val="21"/>
          <w:szCs w:val="21"/>
        </w:rPr>
        <w:t>按照 GB/T 37625 中规定的方法成批。</w:t>
      </w:r>
    </w:p>
    <w:p w14:paraId="5B31FAEC">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6.2 </w:t>
      </w:r>
      <w:r>
        <w:rPr>
          <w:rFonts w:hint="eastAsia" w:ascii="黑体" w:hAnsi="黑体" w:eastAsia="黑体" w:cs="黑体"/>
          <w:sz w:val="21"/>
          <w:szCs w:val="21"/>
          <w:lang w:val="en-US" w:eastAsia="zh-CN"/>
        </w:rPr>
        <w:t>出厂检验</w:t>
      </w:r>
      <w:r>
        <w:rPr>
          <w:rFonts w:hint="eastAsia" w:ascii="宋体" w:hAnsi="宋体" w:eastAsia="宋体" w:cs="宋体"/>
          <w:sz w:val="21"/>
          <w:szCs w:val="21"/>
        </w:rPr>
        <w:t xml:space="preserve"> </w:t>
      </w:r>
      <w:r>
        <w:rPr>
          <w:rFonts w:hint="eastAsia" w:ascii="黑体" w:hAnsi="黑体" w:eastAsia="黑体" w:cs="黑体"/>
          <w:sz w:val="21"/>
          <w:szCs w:val="21"/>
        </w:rPr>
        <w:t xml:space="preserve"> </w:t>
      </w:r>
    </w:p>
    <w:p w14:paraId="0D369985">
      <w:pPr>
        <w:widowControl/>
        <w:spacing w:before="120" w:after="120" w:line="360" w:lineRule="auto"/>
        <w:ind w:firstLine="420"/>
        <w:jc w:val="left"/>
        <w:rPr>
          <w:rFonts w:hint="default" w:ascii="宋体" w:hAnsi="宋体" w:eastAsia="宋体" w:cs="宋体"/>
          <w:b w:val="0"/>
          <w:sz w:val="21"/>
          <w:szCs w:val="21"/>
          <w:lang w:val="en-US" w:eastAsia="zh-CN"/>
        </w:rPr>
      </w:pPr>
      <w:r>
        <w:rPr>
          <w:rFonts w:hint="eastAsia" w:ascii="宋体" w:hAnsi="宋体" w:eastAsia="宋体" w:cs="宋体"/>
          <w:b w:val="0"/>
          <w:kern w:val="2"/>
          <w:sz w:val="21"/>
          <w:szCs w:val="21"/>
        </w:rPr>
        <w:t>出厂检验项目为</w:t>
      </w:r>
      <w:r>
        <w:rPr>
          <w:rFonts w:hint="eastAsia" w:ascii="宋体" w:hAnsi="宋体" w:eastAsia="宋体" w:cs="宋体"/>
          <w:b w:val="0"/>
          <w:bCs/>
          <w:sz w:val="21"/>
          <w:szCs w:val="21"/>
          <w:lang w:val="en-US" w:eastAsia="zh-CN"/>
        </w:rPr>
        <w:t>本文件技术要求中规定的全部指标。</w:t>
      </w:r>
    </w:p>
    <w:p w14:paraId="2B03FE5D">
      <w:pPr>
        <w:widowControl/>
        <w:spacing w:line="360" w:lineRule="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6.3 型式检验</w:t>
      </w:r>
    </w:p>
    <w:p w14:paraId="08FF71F8">
      <w:pPr>
        <w:widowControl/>
        <w:spacing w:line="360" w:lineRule="auto"/>
        <w:rPr>
          <w:rFonts w:hint="eastAsia" w:ascii="宋体" w:hAnsi="宋体" w:eastAsia="宋体" w:cs="宋体"/>
          <w:b w:val="0"/>
          <w:bCs/>
          <w:sz w:val="21"/>
          <w:szCs w:val="21"/>
        </w:rPr>
      </w:pPr>
      <w:r>
        <w:rPr>
          <w:rFonts w:hint="eastAsia" w:ascii="黑体" w:hAnsi="黑体" w:eastAsia="黑体" w:cs="黑体"/>
          <w:b w:val="0"/>
          <w:bCs/>
          <w:sz w:val="21"/>
          <w:szCs w:val="21"/>
          <w:lang w:val="en-US" w:eastAsia="zh-CN"/>
        </w:rPr>
        <w:t>6.3.1</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型式检验每年不应少于1次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型式检验</w:t>
      </w:r>
      <w:r>
        <w:rPr>
          <w:rFonts w:hint="eastAsia" w:ascii="宋体" w:hAnsi="宋体" w:eastAsia="宋体" w:cs="宋体"/>
          <w:b w:val="0"/>
          <w:bCs/>
          <w:sz w:val="21"/>
          <w:szCs w:val="21"/>
          <w:lang w:val="en-US" w:eastAsia="zh-CN"/>
        </w:rPr>
        <w:t>指标为本文件技术要求中规定的全部指标</w:t>
      </w:r>
      <w:r>
        <w:rPr>
          <w:rFonts w:hint="eastAsia" w:ascii="宋体" w:hAnsi="宋体" w:eastAsia="宋体" w:cs="宋体"/>
          <w:b w:val="0"/>
          <w:bCs/>
          <w:sz w:val="21"/>
          <w:szCs w:val="21"/>
        </w:rPr>
        <w:t>。</w:t>
      </w:r>
    </w:p>
    <w:p w14:paraId="4B8E4B20">
      <w:pPr>
        <w:widowControl/>
        <w:spacing w:line="360" w:lineRule="auto"/>
        <w:jc w:val="left"/>
        <w:rPr>
          <w:rFonts w:hint="eastAsia" w:ascii="宋体" w:hAnsi="宋体" w:eastAsia="宋体" w:cs="宋体"/>
          <w:kern w:val="0"/>
          <w:sz w:val="21"/>
          <w:szCs w:val="21"/>
        </w:rPr>
      </w:pPr>
      <w:r>
        <w:rPr>
          <w:rFonts w:hint="eastAsia" w:ascii="黑体" w:hAnsi="黑体" w:eastAsia="黑体" w:cs="黑体"/>
          <w:b w:val="0"/>
          <w:bCs/>
          <w:sz w:val="21"/>
          <w:szCs w:val="21"/>
        </w:rPr>
        <w:t>6.</w:t>
      </w:r>
      <w:r>
        <w:rPr>
          <w:rFonts w:hint="eastAsia" w:ascii="黑体" w:hAnsi="黑体" w:eastAsia="黑体" w:cs="黑体"/>
          <w:b w:val="0"/>
          <w:bCs/>
          <w:sz w:val="21"/>
          <w:szCs w:val="21"/>
          <w:lang w:val="en-US" w:eastAsia="zh-CN"/>
        </w:rPr>
        <w:t>3</w:t>
      </w:r>
      <w:r>
        <w:rPr>
          <w:rFonts w:hint="eastAsia" w:ascii="黑体" w:hAnsi="黑体" w:eastAsia="黑体" w:cs="黑体"/>
          <w:b w:val="0"/>
          <w:bCs/>
          <w:sz w:val="21"/>
          <w:szCs w:val="21"/>
        </w:rPr>
        <w:t>.2</w:t>
      </w:r>
      <w:r>
        <w:rPr>
          <w:rFonts w:hint="eastAsia" w:ascii="宋体" w:hAnsi="宋体" w:eastAsia="宋体" w:cs="宋体"/>
          <w:b w:val="0"/>
          <w:bCs/>
          <w:sz w:val="21"/>
          <w:szCs w:val="21"/>
        </w:rPr>
        <w:t xml:space="preserve"> </w:t>
      </w:r>
      <w:r>
        <w:rPr>
          <w:rFonts w:hint="eastAsia" w:ascii="宋体" w:hAnsi="宋体" w:eastAsia="宋体" w:cs="宋体"/>
          <w:kern w:val="0"/>
          <w:sz w:val="21"/>
          <w:szCs w:val="21"/>
        </w:rPr>
        <w:t>有下列情况之一，应进行型式检验：</w:t>
      </w:r>
      <w:r>
        <w:rPr>
          <w:rFonts w:hint="eastAsia" w:ascii="宋体" w:hAnsi="宋体" w:eastAsia="宋体" w:cs="宋体"/>
          <w:color w:val="auto"/>
          <w:kern w:val="0"/>
          <w:sz w:val="21"/>
          <w:szCs w:val="21"/>
          <w:lang w:bidi="ar"/>
        </w:rPr>
        <w:t xml:space="preserve"> </w:t>
      </w:r>
    </w:p>
    <w:p w14:paraId="2DAA0C0D">
      <w:pPr>
        <w:widowControl/>
        <w:spacing w:before="0" w:after="0" w:line="360" w:lineRule="auto"/>
        <w:ind w:left="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a</w:t>
      </w:r>
      <w:r>
        <w:rPr>
          <w:rFonts w:hint="eastAsia" w:ascii="宋体" w:hAnsi="宋体" w:eastAsia="宋体" w:cs="宋体"/>
          <w:kern w:val="0"/>
          <w:sz w:val="21"/>
          <w:szCs w:val="21"/>
          <w:lang w:eastAsia="zh-CN"/>
        </w:rPr>
        <w:t>）</w:t>
      </w:r>
      <w:r>
        <w:rPr>
          <w:rFonts w:hint="eastAsia" w:ascii="宋体" w:hAnsi="宋体" w:eastAsia="宋体" w:cs="宋体"/>
          <w:sz w:val="21"/>
          <w:szCs w:val="21"/>
          <w:lang w:val="en-US" w:eastAsia="zh-CN"/>
        </w:rPr>
        <w:t>当原料、工艺和设备发生重大改变时</w:t>
      </w:r>
      <w:r>
        <w:rPr>
          <w:rFonts w:hint="eastAsia" w:ascii="宋体" w:hAnsi="宋体" w:eastAsia="宋体" w:cs="宋体"/>
          <w:kern w:val="0"/>
          <w:sz w:val="21"/>
          <w:szCs w:val="21"/>
        </w:rPr>
        <w:t xml:space="preserve">； </w:t>
      </w:r>
    </w:p>
    <w:p w14:paraId="4CE22CCB">
      <w:pPr>
        <w:widowControl/>
        <w:spacing w:before="0" w:after="0" w:line="360" w:lineRule="auto"/>
        <w:ind w:left="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b</w:t>
      </w:r>
      <w:r>
        <w:rPr>
          <w:rFonts w:hint="eastAsia" w:ascii="宋体" w:hAnsi="宋体" w:eastAsia="宋体" w:cs="宋体"/>
          <w:kern w:val="0"/>
          <w:sz w:val="21"/>
          <w:szCs w:val="21"/>
          <w:lang w:eastAsia="zh-CN"/>
        </w:rPr>
        <w:t>）</w:t>
      </w:r>
      <w:r>
        <w:rPr>
          <w:rFonts w:hint="eastAsia" w:ascii="宋体" w:hAnsi="宋体" w:eastAsia="宋体" w:cs="宋体"/>
          <w:sz w:val="21"/>
          <w:szCs w:val="21"/>
          <w:lang w:val="en-US" w:eastAsia="zh-CN"/>
        </w:rPr>
        <w:t>生产场所改变时</w:t>
      </w:r>
      <w:r>
        <w:rPr>
          <w:rFonts w:hint="eastAsia" w:ascii="宋体" w:hAnsi="宋体" w:eastAsia="宋体" w:cs="宋体"/>
          <w:kern w:val="0"/>
          <w:sz w:val="21"/>
          <w:szCs w:val="21"/>
        </w:rPr>
        <w:t xml:space="preserve">； </w:t>
      </w:r>
    </w:p>
    <w:p w14:paraId="27E9A5C3">
      <w:pPr>
        <w:widowControl/>
        <w:spacing w:before="0" w:after="0" w:line="360" w:lineRule="auto"/>
        <w:ind w:left="0"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w:t>
      </w:r>
      <w:r>
        <w:rPr>
          <w:rFonts w:hint="eastAsia" w:ascii="宋体" w:hAnsi="宋体" w:eastAsia="宋体" w:cs="宋体"/>
          <w:kern w:val="0"/>
          <w:sz w:val="21"/>
          <w:szCs w:val="21"/>
          <w:lang w:eastAsia="zh-CN"/>
        </w:rPr>
        <w:t>）</w:t>
      </w:r>
      <w:r>
        <w:rPr>
          <w:rFonts w:hint="eastAsia" w:ascii="宋体" w:hAnsi="宋体" w:eastAsia="宋体" w:cs="宋体"/>
          <w:sz w:val="21"/>
          <w:szCs w:val="21"/>
          <w:lang w:val="en-US" w:eastAsia="zh-CN"/>
        </w:rPr>
        <w:t>主管部门提出型式检验要求时</w:t>
      </w:r>
      <w:r>
        <w:rPr>
          <w:rFonts w:hint="eastAsia" w:ascii="宋体" w:hAnsi="宋体" w:eastAsia="宋体" w:cs="宋体"/>
          <w:kern w:val="0"/>
          <w:sz w:val="21"/>
          <w:szCs w:val="21"/>
        </w:rPr>
        <w:t xml:space="preserve">； </w:t>
      </w:r>
    </w:p>
    <w:p w14:paraId="25280AEA">
      <w:pPr>
        <w:spacing w:line="360" w:lineRule="auto"/>
        <w:ind w:left="0" w:leftChars="0" w:firstLineChars="200"/>
        <w:rPr>
          <w:rFonts w:hint="eastAsia" w:ascii="宋体" w:hAnsi="宋体" w:eastAsia="宋体" w:cs="宋体"/>
          <w:kern w:val="0"/>
          <w:szCs w:val="21"/>
        </w:rPr>
      </w:pPr>
      <w:r>
        <w:rPr>
          <w:rFonts w:hint="eastAsia" w:ascii="宋体" w:hAnsi="宋体" w:eastAsia="宋体" w:cs="宋体"/>
          <w:kern w:val="0"/>
          <w:sz w:val="21"/>
          <w:szCs w:val="21"/>
          <w:lang w:val="en-US" w:eastAsia="zh-CN"/>
        </w:rPr>
        <w:t>d</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产品</w:t>
      </w:r>
      <w:r>
        <w:rPr>
          <w:rFonts w:hint="eastAsia" w:ascii="宋体" w:hAnsi="宋体" w:eastAsia="宋体" w:cs="宋体"/>
          <w:sz w:val="21"/>
          <w:szCs w:val="21"/>
          <w:lang w:val="en-US" w:eastAsia="zh-CN"/>
        </w:rPr>
        <w:t>首次投产或</w:t>
      </w:r>
      <w:r>
        <w:rPr>
          <w:rFonts w:hint="eastAsia" w:ascii="宋体" w:hAnsi="宋体" w:eastAsia="宋体" w:cs="宋体"/>
          <w:kern w:val="0"/>
          <w:sz w:val="21"/>
          <w:szCs w:val="21"/>
        </w:rPr>
        <w:t>停产6个月以上恢复生产时</w:t>
      </w:r>
      <w:r>
        <w:rPr>
          <w:rFonts w:hint="eastAsia" w:ascii="宋体" w:hAnsi="宋体" w:eastAsia="宋体" w:cs="宋体"/>
          <w:kern w:val="0"/>
          <w:sz w:val="21"/>
          <w:szCs w:val="21"/>
          <w:lang w:eastAsia="zh-CN"/>
        </w:rPr>
        <w:t>。</w:t>
      </w:r>
    </w:p>
    <w:p w14:paraId="168A338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 判定规则 </w:t>
      </w:r>
    </w:p>
    <w:p w14:paraId="1017736C">
      <w:pPr>
        <w:widowControl/>
        <w:spacing w:line="360" w:lineRule="auto"/>
        <w:jc w:val="left"/>
        <w:rPr>
          <w:rFonts w:hint="eastAsia" w:ascii="宋体" w:hAnsi="宋体" w:eastAsia="宋体" w:cs="宋体"/>
          <w:bCs/>
          <w:sz w:val="21"/>
          <w:szCs w:val="21"/>
        </w:rPr>
      </w:pPr>
      <w:r>
        <w:rPr>
          <w:rFonts w:hint="eastAsia" w:ascii="黑体" w:hAnsi="黑体" w:eastAsia="黑体" w:cs="黑体"/>
          <w:b w:val="0"/>
          <w:bCs/>
          <w:sz w:val="21"/>
          <w:szCs w:val="21"/>
        </w:rPr>
        <w:t>6.</w:t>
      </w:r>
      <w:r>
        <w:rPr>
          <w:rFonts w:hint="eastAsia" w:ascii="黑体" w:hAnsi="黑体" w:eastAsia="黑体" w:cs="黑体"/>
          <w:b w:val="0"/>
          <w:bCs/>
          <w:sz w:val="21"/>
          <w:szCs w:val="21"/>
          <w:lang w:val="en-US" w:eastAsia="zh-CN"/>
        </w:rPr>
        <w:t>4</w:t>
      </w:r>
      <w:r>
        <w:rPr>
          <w:rFonts w:hint="eastAsia" w:ascii="黑体" w:hAnsi="黑体" w:eastAsia="黑体" w:cs="黑体"/>
          <w:b w:val="0"/>
          <w:bCs/>
          <w:sz w:val="21"/>
          <w:szCs w:val="21"/>
        </w:rPr>
        <w:t xml:space="preserve">.1 </w:t>
      </w:r>
      <w:r>
        <w:rPr>
          <w:rFonts w:hint="eastAsia" w:ascii="宋体" w:hAnsi="宋体" w:eastAsia="宋体" w:cs="宋体"/>
          <w:bCs/>
          <w:kern w:val="0"/>
          <w:sz w:val="21"/>
          <w:szCs w:val="21"/>
        </w:rPr>
        <w:t>批的</w:t>
      </w:r>
      <w:r>
        <w:rPr>
          <w:rFonts w:hint="eastAsia" w:ascii="宋体" w:hAnsi="宋体" w:eastAsia="宋体" w:cs="宋体"/>
          <w:bCs/>
          <w:kern w:val="0"/>
          <w:sz w:val="21"/>
          <w:szCs w:val="21"/>
          <w:lang w:val="en-US" w:eastAsia="zh-CN"/>
        </w:rPr>
        <w:t>出厂</w:t>
      </w:r>
      <w:r>
        <w:rPr>
          <w:rFonts w:hint="eastAsia" w:ascii="宋体" w:hAnsi="宋体" w:eastAsia="宋体" w:cs="宋体"/>
          <w:bCs/>
          <w:kern w:val="0"/>
          <w:sz w:val="21"/>
          <w:szCs w:val="21"/>
        </w:rPr>
        <w:t>检验</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型式检验</w:t>
      </w:r>
      <w:r>
        <w:rPr>
          <w:rFonts w:hint="eastAsia" w:ascii="宋体" w:hAnsi="宋体" w:eastAsia="宋体" w:cs="宋体"/>
          <w:bCs/>
          <w:kern w:val="0"/>
          <w:sz w:val="21"/>
          <w:szCs w:val="21"/>
        </w:rPr>
        <w:t>指标全部符合</w:t>
      </w:r>
      <w:r>
        <w:rPr>
          <w:rFonts w:hint="eastAsia" w:ascii="宋体" w:hAnsi="宋体" w:eastAsia="宋体" w:cs="宋体"/>
          <w:bCs/>
          <w:kern w:val="0"/>
          <w:sz w:val="21"/>
          <w:szCs w:val="21"/>
          <w:lang w:val="en-US" w:eastAsia="zh-CN"/>
        </w:rPr>
        <w:t>本文件</w:t>
      </w:r>
      <w:r>
        <w:rPr>
          <w:rFonts w:hint="eastAsia" w:ascii="宋体" w:hAnsi="宋体" w:eastAsia="宋体" w:cs="宋体"/>
          <w:bCs/>
          <w:kern w:val="0"/>
          <w:sz w:val="21"/>
          <w:szCs w:val="21"/>
        </w:rPr>
        <w:t>，判定</w:t>
      </w:r>
      <w:r>
        <w:rPr>
          <w:rFonts w:hint="eastAsia" w:ascii="宋体" w:hAnsi="宋体" w:eastAsia="宋体" w:cs="宋体"/>
          <w:bCs/>
          <w:kern w:val="0"/>
          <w:sz w:val="21"/>
          <w:szCs w:val="21"/>
          <w:lang w:val="en-US" w:eastAsia="zh-CN"/>
        </w:rPr>
        <w:t>该批产品</w:t>
      </w:r>
      <w:r>
        <w:rPr>
          <w:rFonts w:hint="eastAsia" w:ascii="宋体" w:hAnsi="宋体" w:eastAsia="宋体" w:cs="宋体"/>
          <w:bCs/>
          <w:kern w:val="0"/>
          <w:sz w:val="21"/>
          <w:szCs w:val="21"/>
        </w:rPr>
        <w:t>合格。</w:t>
      </w:r>
      <w:r>
        <w:rPr>
          <w:rFonts w:hint="eastAsia" w:ascii="宋体" w:hAnsi="宋体" w:eastAsia="宋体" w:cs="宋体"/>
          <w:bCs/>
          <w:color w:val="000000"/>
          <w:kern w:val="0"/>
          <w:sz w:val="21"/>
          <w:szCs w:val="21"/>
          <w:lang w:bidi="ar"/>
        </w:rPr>
        <w:t xml:space="preserve"> </w:t>
      </w:r>
    </w:p>
    <w:p w14:paraId="2912E9F0">
      <w:pPr>
        <w:widowControl/>
        <w:spacing w:line="360" w:lineRule="auto"/>
        <w:jc w:val="left"/>
        <w:rPr>
          <w:rFonts w:hint="eastAsia" w:ascii="宋体" w:hAnsi="宋体" w:eastAsia="宋体" w:cs="宋体"/>
          <w:bCs/>
          <w:kern w:val="0"/>
          <w:sz w:val="21"/>
          <w:szCs w:val="21"/>
        </w:rPr>
      </w:pPr>
      <w:r>
        <w:rPr>
          <w:rFonts w:hint="eastAsia" w:ascii="黑体" w:hAnsi="黑体" w:eastAsia="黑体" w:cs="黑体"/>
          <w:b w:val="0"/>
          <w:bCs/>
          <w:sz w:val="21"/>
          <w:szCs w:val="21"/>
        </w:rPr>
        <w:t>6.</w:t>
      </w:r>
      <w:r>
        <w:rPr>
          <w:rFonts w:hint="eastAsia" w:ascii="黑体" w:hAnsi="黑体" w:eastAsia="黑体" w:cs="黑体"/>
          <w:b w:val="0"/>
          <w:bCs/>
          <w:sz w:val="21"/>
          <w:szCs w:val="21"/>
          <w:lang w:val="en-US" w:eastAsia="zh-CN"/>
        </w:rPr>
        <w:t>4</w:t>
      </w:r>
      <w:r>
        <w:rPr>
          <w:rFonts w:hint="eastAsia" w:ascii="黑体" w:hAnsi="黑体" w:eastAsia="黑体" w:cs="黑体"/>
          <w:b w:val="0"/>
          <w:bCs/>
          <w:sz w:val="21"/>
          <w:szCs w:val="21"/>
        </w:rPr>
        <w:t>.2</w:t>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批的出厂</w:t>
      </w:r>
      <w:r>
        <w:rPr>
          <w:rFonts w:hint="eastAsia" w:ascii="宋体" w:hAnsi="宋体" w:eastAsia="宋体" w:cs="宋体"/>
          <w:bCs/>
          <w:kern w:val="0"/>
          <w:sz w:val="21"/>
          <w:szCs w:val="21"/>
          <w:lang w:val="en-US" w:eastAsia="zh-CN"/>
        </w:rPr>
        <w:t>检验、型式检验项目若有一项指标不符合本文件要求，应重新自双倍量的包装中取样，对不合格指标进行复检，复检合格，则判该批产品合格；如仍不合格，则判该批产品不合格</w:t>
      </w:r>
      <w:r>
        <w:rPr>
          <w:rFonts w:hint="eastAsia" w:ascii="宋体" w:hAnsi="宋体" w:eastAsia="宋体" w:cs="宋体"/>
          <w:bCs/>
          <w:kern w:val="0"/>
          <w:sz w:val="21"/>
          <w:szCs w:val="21"/>
        </w:rPr>
        <w:t xml:space="preserve">。 </w:t>
      </w:r>
    </w:p>
    <w:p w14:paraId="0EB5368D">
      <w:pPr>
        <w:rPr>
          <w:rFonts w:hint="eastAsia" w:eastAsia="宋体"/>
          <w:bCs/>
          <w:lang w:eastAsia="zh-CN"/>
        </w:rPr>
      </w:pPr>
      <w:r>
        <w:rPr>
          <w:rFonts w:hint="eastAsia" w:ascii="黑体" w:hAnsi="黑体" w:eastAsia="黑体" w:cs="黑体"/>
          <w:b w:val="0"/>
          <w:bCs/>
          <w:sz w:val="21"/>
          <w:szCs w:val="21"/>
        </w:rPr>
        <w:t>6.</w:t>
      </w:r>
      <w:r>
        <w:rPr>
          <w:rFonts w:hint="eastAsia" w:ascii="黑体" w:hAnsi="黑体" w:eastAsia="黑体" w:cs="黑体"/>
          <w:b w:val="0"/>
          <w:bCs/>
          <w:sz w:val="21"/>
          <w:szCs w:val="21"/>
          <w:lang w:val="en-US" w:eastAsia="zh-CN"/>
        </w:rPr>
        <w:t>4</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 xml:space="preserve">3 </w:t>
      </w:r>
      <w:r>
        <w:rPr>
          <w:rFonts w:hint="eastAsia" w:ascii="宋体" w:hAnsi="宋体" w:eastAsia="宋体" w:cs="宋体"/>
          <w:bCs/>
          <w:kern w:val="0"/>
          <w:sz w:val="21"/>
          <w:szCs w:val="21"/>
          <w:lang w:val="en-US" w:eastAsia="zh-CN"/>
        </w:rPr>
        <w:t>检验结果的判定按 GB/T 8170数值修约值比较法进行。</w:t>
      </w:r>
    </w:p>
    <w:p w14:paraId="3106BD02">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7 包装、运输和贮存 </w:t>
      </w:r>
    </w:p>
    <w:p w14:paraId="3ACF1D1C">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7.1 包装 </w:t>
      </w:r>
    </w:p>
    <w:p w14:paraId="140F6E7E">
      <w:pPr>
        <w:widowControl/>
        <w:spacing w:line="360" w:lineRule="auto"/>
        <w:ind w:firstLine="420"/>
        <w:rPr>
          <w:rFonts w:hint="eastAsia" w:ascii="宋体" w:hAnsi="宋体" w:eastAsia="宋体" w:cs="宋体"/>
          <w:sz w:val="21"/>
          <w:szCs w:val="21"/>
        </w:rPr>
      </w:pPr>
      <w:r>
        <w:rPr>
          <w:rFonts w:hint="eastAsia" w:ascii="宋体" w:hAnsi="宋体" w:eastAsia="宋体" w:cs="宋体"/>
          <w:kern w:val="0"/>
          <w:sz w:val="21"/>
          <w:szCs w:val="21"/>
        </w:rPr>
        <w:t xml:space="preserve">袋装产品可以内衬塑料薄膜的塑料编结袋、以单层塑料编结袋、涂塑袋、各种类型纸袋进行包装，不能造成显著的粉尘外漏。需方如有特殊要求可按协议进行。经双方协商可由需方自备包装物进行包装或散装。 </w:t>
      </w:r>
    </w:p>
    <w:p w14:paraId="30C191E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7.2 运输 </w:t>
      </w:r>
    </w:p>
    <w:p w14:paraId="297EF8BE">
      <w:pPr>
        <w:widowControl/>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 xml:space="preserve">运输工具的车厢、船舱应清洁卫生。运输过程中应防污染。 </w:t>
      </w:r>
    </w:p>
    <w:p w14:paraId="7294F78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 xml:space="preserve">7.3 贮存 </w:t>
      </w:r>
    </w:p>
    <w:p w14:paraId="5B17EBDE">
      <w:pPr>
        <w:widowControl/>
        <w:spacing w:line="360" w:lineRule="auto"/>
        <w:ind w:firstLine="420"/>
        <w:rPr>
          <w:rFonts w:hint="eastAsia" w:ascii="宋体" w:hAnsi="宋体" w:eastAsia="宋体" w:cs="宋体"/>
          <w:kern w:val="0"/>
          <w:sz w:val="21"/>
          <w:szCs w:val="21"/>
        </w:rPr>
        <w:sectPr>
          <w:footerReference r:id="rId8" w:type="default"/>
          <w:pgSz w:w="11905" w:h="16840" w:orient="landscape"/>
          <w:pgMar w:top="1440" w:right="1800" w:bottom="1440" w:left="1800" w:header="720" w:footer="720" w:gutter="0"/>
          <w:pgNumType w:start="1"/>
          <w:cols w:space="720" w:num="1"/>
        </w:sectPr>
      </w:pPr>
      <w:r>
        <w:rPr>
          <w:rFonts w:hint="eastAsia" w:ascii="宋体" w:hAnsi="宋体" w:eastAsia="宋体" w:cs="宋体"/>
          <w:b w:val="0"/>
          <w:bCs w:val="0"/>
          <w:kern w:val="0"/>
          <w:sz w:val="21"/>
          <w:szCs w:val="21"/>
          <w:lang w:val="en-US" w:eastAsia="zh-CN"/>
        </w:rPr>
        <w:t>产品</w:t>
      </w:r>
      <w:r>
        <w:rPr>
          <w:rFonts w:hint="eastAsia" w:ascii="宋体" w:hAnsi="宋体" w:eastAsia="宋体" w:cs="宋体"/>
          <w:kern w:val="0"/>
          <w:sz w:val="21"/>
          <w:szCs w:val="21"/>
        </w:rPr>
        <w:t>应入库贮存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注意开窗通风；应有防雨措施，防止产品受潮。</w:t>
      </w:r>
    </w:p>
    <w:p w14:paraId="305A1D55">
      <w:pPr>
        <w:jc w:val="center"/>
        <w:rPr>
          <w:rFonts w:hint="eastAsia" w:ascii="黑体" w:hAnsi="黑体" w:eastAsia="黑体" w:cs="黑体"/>
          <w:lang w:val="en-US" w:eastAsia="zh-CN"/>
        </w:rPr>
      </w:pPr>
      <w:r>
        <w:rPr>
          <w:rFonts w:hint="eastAsia" w:ascii="黑体" w:hAnsi="黑体" w:eastAsia="黑体" w:cs="黑体"/>
          <w:lang w:val="en-US" w:eastAsia="zh-CN"/>
        </w:rPr>
        <w:t>参</w:t>
      </w:r>
      <w:r>
        <w:rPr>
          <w:rFonts w:hint="eastAsia" w:ascii="黑体" w:hAnsi="黑体" w:eastAsia="黑体" w:cs="黑体"/>
          <w:lang w:eastAsia="zh-CN"/>
        </w:rPr>
        <w:t xml:space="preserve"> </w:t>
      </w:r>
      <w:r>
        <w:rPr>
          <w:rFonts w:hint="eastAsia" w:ascii="黑体" w:hAnsi="黑体" w:eastAsia="黑体" w:cs="黑体"/>
          <w:lang w:val="en-US" w:eastAsia="zh-CN"/>
        </w:rPr>
        <w:t>考 文 献</w:t>
      </w:r>
    </w:p>
    <w:p w14:paraId="5CBB0C33">
      <w:pPr>
        <w:pStyle w:val="17"/>
        <w:ind w:firstLine="0" w:firstLineChars="0"/>
        <w:rPr>
          <w:rFonts w:hint="eastAsia" w:ascii="宋体" w:hAnsi="宋体" w:cs="宋体"/>
          <w:kern w:val="0"/>
          <w:sz w:val="21"/>
          <w:szCs w:val="21"/>
          <w:lang w:val="en-US"/>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 xml:space="preserve"> </w:t>
      </w:r>
      <w:r>
        <w:rPr>
          <w:rFonts w:hint="eastAsia" w:ascii="宋体" w:hAnsi="宋体" w:cs="宋体"/>
          <w:kern w:val="0"/>
          <w:sz w:val="21"/>
          <w:szCs w:val="21"/>
          <w:lang w:val="en-US"/>
        </w:rPr>
        <w:t>《化妆品安全技术规范》（2015年版）（国家食品药品监督管理总局公告 2015 年第 268 号）</w:t>
      </w:r>
    </w:p>
    <w:p w14:paraId="1BF23786">
      <w:pPr>
        <w:jc w:val="center"/>
        <w:rPr>
          <w:rFonts w:hint="default" w:ascii="黑体" w:hAnsi="黑体" w:eastAsia="黑体" w:cs="黑体"/>
          <w:lang w:val="en-US" w:eastAsia="zh-CN"/>
        </w:rPr>
      </w:pPr>
    </w:p>
    <w:p w14:paraId="14B52F49">
      <w:pPr>
        <w:pStyle w:val="30"/>
        <w:framePr w:w="3105" w:hSpace="181" w:vSpace="181" w:wrap="around" w:vAnchor="text" w:hAnchor="page" w:x="4642" w:y="4455"/>
        <w:tabs>
          <w:tab w:val="center" w:pos="4201"/>
          <w:tab w:val="right" w:leader="dot" w:pos="9298"/>
        </w:tabs>
        <w:ind w:firstLine="420"/>
        <w:jc w:val="center"/>
        <w:rPr>
          <w:rFonts w:ascii="Times New Roman"/>
        </w:rPr>
      </w:pPr>
    </w:p>
    <w:p w14:paraId="2A56DA85">
      <w:pPr>
        <w:framePr w:w="3105" w:hSpace="181" w:vSpace="181" w:wrap="around" w:vAnchor="text" w:hAnchor="page" w:x="4642" w:y="4455"/>
        <w:jc w:val="center"/>
        <w:rPr>
          <w:kern w:val="0"/>
          <w:szCs w:val="20"/>
        </w:rPr>
      </w:pPr>
      <w:r>
        <w:t>________________________</w:t>
      </w:r>
    </w:p>
    <w:p w14:paraId="7043C088">
      <w:pPr>
        <w:pStyle w:val="17"/>
      </w:pPr>
    </w:p>
    <w:sectPr>
      <w:pgSz w:w="11905" w:h="16840" w:orient="landscape"/>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24B2">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31576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4731576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62C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6651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926651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A689">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091D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5091D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51A5">
    <w:pPr>
      <w:jc w:val="left"/>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p w14:paraId="46A7F367">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ADDC">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4"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0pt;margin-top:0pt;height:50pt;width:50pt;visibility:hidden;z-index:251659264;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IVPm0QAAAAUBAAAPAAAAAAAAAAEAIAAAACIAAABkcnMvZG93bnJldi54bWxQ&#10;SwECFAAUAAAACACHTuJAoEq8GP4BAAAOBAAADgAAAAAAAAABACAAAAAgAQAAZHJzL2Uyb0RvYy54&#10;bWxQSwUGAAAAAAYABgBZAQAAkAUAAAAA&#10;" adj="10800">
              <v:fill on="f" focussize="0,0"/>
              <v:stroke on="f"/>
              <v:imagedata o:title=""/>
              <o:lock v:ext="edit" selection="t" aspectratio="f"/>
              <v:textbox style="mso-fit-shape-to-text:t;"/>
            </v:shape>
          </w:pict>
        </mc:Fallback>
      </mc:AlternateContent>
    </w:r>
    <w:r>
      <w:pict>
        <v:shape id="PowerPlusWaterMarkObject3" o:spid="_x0000_s4098" o:spt="136" type="#_x0000_t136" style="position:absolute;left:0pt;height:207.5pt;width:415pt;mso-position-horizontal:center;mso-position-horizontal-relative:margin;mso-position-vertical:center;mso-position-vertical-relative:margin;z-index:-251654144;mso-width-relative:page;mso-height-relative:page;" fillcolor="#000000" filled="t" stroked="f" coordsize="21600,21600">
          <v:path/>
          <v:fill on="t" focussize="0,0"/>
          <v:stroke on="f"/>
          <v:imagedata o:title=""/>
          <o:lock v:ext="edit" text="f"/>
          <v:textpath on="t" fitshape="t" fitpath="t" trim="f" xscale="f" string=" 凡东 0382"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3E83">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3"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margin-left:0pt;margin-top:0pt;height:50pt;width:50pt;visibility:hidden;z-index:251660288;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IVPm0QAAAAUBAAAPAAAAAAAAAAEAIAAAACIAAABkcnMvZG93bnJldi54bWxQ&#10;SwECFAAUAAAACACHTuJAMoa6vv4BAAAOBAAADgAAAAAAAAABACAAAAAgAQAAZHJzL2Uyb0RvYy54&#10;bWxQSwUGAAAAAAYABgBZAQAAkAUAAAAA&#10;" adj="10800">
              <v:fill on="f" focussize="0,0"/>
              <v:stroke on="f"/>
              <v:imagedata o:title=""/>
              <o:lock v:ext="edit" selection="t" aspectratio="f"/>
              <v:textbox style="mso-fit-shape-to-text:t;"/>
            </v:shape>
          </w:pict>
        </mc:Fallback>
      </mc:AlternateContent>
    </w:r>
    <w:r>
      <w:pict>
        <v:shape id="PowerPlusWaterMarkObject2" o:spid="_x0000_s4097" o:spt="136" type="#_x0000_t136" style="position:absolute;left:0pt;height:207.5pt;width:415pt;mso-position-horizontal:center;mso-position-horizontal-relative:margin;mso-position-vertical:center;mso-position-vertical-relative:margin;z-index:-251655168;mso-width-relative:page;mso-height-relative:page;" fillcolor="#000000" filled="t" stroked="f" coordsize="21600,21600">
          <v:path/>
          <v:fill on="t" focussize="0,0"/>
          <v:stroke on="f"/>
          <v:imagedata o:title=""/>
          <o:lock v:ext="edit" text="f"/>
          <v:textpath on="t" fitshape="t" fitpath="t" trim="f" xscale="f" string=" 凡东 0382"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5B04"/>
    <w:multiLevelType w:val="multilevel"/>
    <w:tmpl w:val="DEF45B04"/>
    <w:lvl w:ilvl="0" w:tentative="0">
      <w:start w:val="1"/>
      <w:numFmt w:val="none"/>
      <w:pStyle w:val="3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zYzBiZWFjN2JkYTcyNWZlZmIxNmIzMjk2NDcwOWUifQ=="/>
  </w:docVars>
  <w:rsids>
    <w:rsidRoot w:val="00BA2620"/>
    <w:rsid w:val="000151B5"/>
    <w:rsid w:val="001656DD"/>
    <w:rsid w:val="003063E9"/>
    <w:rsid w:val="003B42D6"/>
    <w:rsid w:val="004240FC"/>
    <w:rsid w:val="005F3D6C"/>
    <w:rsid w:val="00625AD8"/>
    <w:rsid w:val="00653572"/>
    <w:rsid w:val="00765448"/>
    <w:rsid w:val="007E4F17"/>
    <w:rsid w:val="00832DB3"/>
    <w:rsid w:val="008C771A"/>
    <w:rsid w:val="00936BD0"/>
    <w:rsid w:val="00A4014F"/>
    <w:rsid w:val="00AB48FF"/>
    <w:rsid w:val="00BA2620"/>
    <w:rsid w:val="00C26DD3"/>
    <w:rsid w:val="00C34077"/>
    <w:rsid w:val="00C9410A"/>
    <w:rsid w:val="00D713BC"/>
    <w:rsid w:val="00F47AF2"/>
    <w:rsid w:val="01AE5865"/>
    <w:rsid w:val="03CD3A31"/>
    <w:rsid w:val="04762137"/>
    <w:rsid w:val="05130784"/>
    <w:rsid w:val="06E47D4B"/>
    <w:rsid w:val="06E904DD"/>
    <w:rsid w:val="07B76CEE"/>
    <w:rsid w:val="083E11BD"/>
    <w:rsid w:val="0AB50E8E"/>
    <w:rsid w:val="0AD735EE"/>
    <w:rsid w:val="0B2612B4"/>
    <w:rsid w:val="0B435A4C"/>
    <w:rsid w:val="0B8B296C"/>
    <w:rsid w:val="0BF15E4B"/>
    <w:rsid w:val="0CAC4948"/>
    <w:rsid w:val="0CEB53A6"/>
    <w:rsid w:val="0D822374"/>
    <w:rsid w:val="0DEE2D3E"/>
    <w:rsid w:val="0E70139A"/>
    <w:rsid w:val="0E7917D2"/>
    <w:rsid w:val="0EA53D44"/>
    <w:rsid w:val="108D2CE2"/>
    <w:rsid w:val="11272BFC"/>
    <w:rsid w:val="11382C4E"/>
    <w:rsid w:val="12496F4A"/>
    <w:rsid w:val="129640D0"/>
    <w:rsid w:val="14CF1EDA"/>
    <w:rsid w:val="1568787A"/>
    <w:rsid w:val="15AE4C8C"/>
    <w:rsid w:val="18DC2FA1"/>
    <w:rsid w:val="18E82514"/>
    <w:rsid w:val="190C362A"/>
    <w:rsid w:val="1A545BBD"/>
    <w:rsid w:val="1A763879"/>
    <w:rsid w:val="1B910F69"/>
    <w:rsid w:val="1CA91422"/>
    <w:rsid w:val="1D9F778D"/>
    <w:rsid w:val="20A41B57"/>
    <w:rsid w:val="22910341"/>
    <w:rsid w:val="238D507B"/>
    <w:rsid w:val="23A14EBC"/>
    <w:rsid w:val="26A12BEB"/>
    <w:rsid w:val="287D5CE3"/>
    <w:rsid w:val="2B0025D7"/>
    <w:rsid w:val="2BEC5442"/>
    <w:rsid w:val="2C882884"/>
    <w:rsid w:val="2D6A4920"/>
    <w:rsid w:val="2FF43D8C"/>
    <w:rsid w:val="3005243D"/>
    <w:rsid w:val="303D43E8"/>
    <w:rsid w:val="30C121DE"/>
    <w:rsid w:val="31905CA4"/>
    <w:rsid w:val="31D3456C"/>
    <w:rsid w:val="31E73A94"/>
    <w:rsid w:val="339A1658"/>
    <w:rsid w:val="34AF0C7B"/>
    <w:rsid w:val="34D46C70"/>
    <w:rsid w:val="362C7E1C"/>
    <w:rsid w:val="373F09B2"/>
    <w:rsid w:val="3AEF3EEE"/>
    <w:rsid w:val="3B47390A"/>
    <w:rsid w:val="3C395BEF"/>
    <w:rsid w:val="3F2A5A1C"/>
    <w:rsid w:val="3F9F0BC4"/>
    <w:rsid w:val="41E33C60"/>
    <w:rsid w:val="46916CAB"/>
    <w:rsid w:val="47143D2B"/>
    <w:rsid w:val="475D1794"/>
    <w:rsid w:val="48671213"/>
    <w:rsid w:val="48956F5B"/>
    <w:rsid w:val="4C6F6792"/>
    <w:rsid w:val="4D505E10"/>
    <w:rsid w:val="50607F6E"/>
    <w:rsid w:val="51501312"/>
    <w:rsid w:val="53607E34"/>
    <w:rsid w:val="538452A3"/>
    <w:rsid w:val="54374216"/>
    <w:rsid w:val="551B1C37"/>
    <w:rsid w:val="56845476"/>
    <w:rsid w:val="57C35622"/>
    <w:rsid w:val="5B5E3662"/>
    <w:rsid w:val="5C0C131E"/>
    <w:rsid w:val="5C455FC2"/>
    <w:rsid w:val="5D681792"/>
    <w:rsid w:val="5DAD2D9A"/>
    <w:rsid w:val="5E03770C"/>
    <w:rsid w:val="5E6C4390"/>
    <w:rsid w:val="5EE25574"/>
    <w:rsid w:val="5F4E6765"/>
    <w:rsid w:val="5F5F4E16"/>
    <w:rsid w:val="607270C5"/>
    <w:rsid w:val="61626D29"/>
    <w:rsid w:val="641F6D13"/>
    <w:rsid w:val="65492F37"/>
    <w:rsid w:val="66B11103"/>
    <w:rsid w:val="6D956AC8"/>
    <w:rsid w:val="6FCE5DBA"/>
    <w:rsid w:val="702E0A08"/>
    <w:rsid w:val="72197A55"/>
    <w:rsid w:val="724C122A"/>
    <w:rsid w:val="733B32C6"/>
    <w:rsid w:val="73CD0149"/>
    <w:rsid w:val="73F90A51"/>
    <w:rsid w:val="743A35AD"/>
    <w:rsid w:val="74617876"/>
    <w:rsid w:val="74B01583"/>
    <w:rsid w:val="74C51DAB"/>
    <w:rsid w:val="76E05B60"/>
    <w:rsid w:val="7B8D6AD9"/>
    <w:rsid w:val="7C844EF5"/>
    <w:rsid w:val="7D554BE6"/>
    <w:rsid w:val="7DE14B65"/>
    <w:rsid w:val="7F0535A3"/>
    <w:rsid w:val="7F05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semiHidden/>
    <w:unhideWhenUsed/>
    <w:qFormat/>
    <w:uiPriority w:val="99"/>
    <w:pPr>
      <w:jc w:val="left"/>
    </w:pPr>
  </w:style>
  <w:style w:type="paragraph" w:styleId="5">
    <w:name w:val="Body Text"/>
    <w:basedOn w:val="1"/>
    <w:qFormat/>
    <w:uiPriority w:val="99"/>
    <w:pPr>
      <w:tabs>
        <w:tab w:val="left" w:pos="8280"/>
      </w:tabs>
    </w:pPr>
    <w:rPr>
      <w:kern w:val="0"/>
      <w:sz w:val="24"/>
    </w:rPr>
  </w:style>
  <w:style w:type="paragraph" w:styleId="6">
    <w:name w:val="Date"/>
    <w:basedOn w:val="1"/>
    <w:next w:val="1"/>
    <w:link w:val="21"/>
    <w:autoRedefine/>
    <w:semiHidden/>
    <w:unhideWhenUsed/>
    <w:qFormat/>
    <w:uiPriority w:val="99"/>
    <w:pPr>
      <w:ind w:left="100" w:leftChars="2500"/>
    </w:pPr>
  </w:style>
  <w:style w:type="paragraph" w:styleId="7">
    <w:name w:val="Balloon Text"/>
    <w:basedOn w:val="1"/>
    <w:link w:val="20"/>
    <w:autoRedefine/>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annotation subject"/>
    <w:basedOn w:val="4"/>
    <w:next w:val="4"/>
    <w:link w:val="19"/>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sz w:val="18"/>
    </w:rPr>
  </w:style>
  <w:style w:type="character" w:styleId="15">
    <w:name w:val="Hyperlink"/>
    <w:basedOn w:val="13"/>
    <w:semiHidden/>
    <w:unhideWhenUsed/>
    <w:qFormat/>
    <w:uiPriority w:val="99"/>
    <w:rPr>
      <w:color w:val="0000FF"/>
      <w:u w:val="single"/>
    </w:rPr>
  </w:style>
  <w:style w:type="character" w:styleId="16">
    <w:name w:val="annotation reference"/>
    <w:basedOn w:val="13"/>
    <w:autoRedefine/>
    <w:semiHidden/>
    <w:unhideWhenUsed/>
    <w:qFormat/>
    <w:uiPriority w:val="99"/>
    <w:rPr>
      <w:sz w:val="21"/>
      <w:szCs w:val="21"/>
    </w:rPr>
  </w:style>
  <w:style w:type="paragraph" w:customStyle="1" w:styleId="17">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18">
    <w:name w:val="批注文字 字符"/>
    <w:basedOn w:val="13"/>
    <w:link w:val="4"/>
    <w:autoRedefine/>
    <w:semiHidden/>
    <w:qFormat/>
    <w:uiPriority w:val="99"/>
  </w:style>
  <w:style w:type="character" w:customStyle="1" w:styleId="19">
    <w:name w:val="批注主题 字符"/>
    <w:basedOn w:val="18"/>
    <w:link w:val="10"/>
    <w:semiHidden/>
    <w:qFormat/>
    <w:uiPriority w:val="99"/>
    <w:rPr>
      <w:b/>
      <w:bCs/>
    </w:rPr>
  </w:style>
  <w:style w:type="character" w:customStyle="1" w:styleId="20">
    <w:name w:val="批注框文本 字符"/>
    <w:basedOn w:val="13"/>
    <w:link w:val="7"/>
    <w:semiHidden/>
    <w:qFormat/>
    <w:uiPriority w:val="99"/>
    <w:rPr>
      <w:sz w:val="18"/>
      <w:szCs w:val="18"/>
    </w:rPr>
  </w:style>
  <w:style w:type="character" w:customStyle="1" w:styleId="21">
    <w:name w:val="日期 字符"/>
    <w:basedOn w:val="13"/>
    <w:link w:val="6"/>
    <w:semiHidden/>
    <w:qFormat/>
    <w:uiPriority w:val="99"/>
  </w:style>
  <w:style w:type="character" w:customStyle="1" w:styleId="22">
    <w:name w:val="页脚 字符"/>
    <w:basedOn w:val="13"/>
    <w:link w:val="8"/>
    <w:qFormat/>
    <w:uiPriority w:val="99"/>
    <w:rPr>
      <w:kern w:val="2"/>
      <w:sz w:val="18"/>
      <w:szCs w:val="18"/>
    </w:rPr>
  </w:style>
  <w:style w:type="paragraph" w:customStyle="1" w:styleId="23">
    <w:name w:val="封面正文"/>
    <w:qFormat/>
    <w:uiPriority w:val="99"/>
    <w:pPr>
      <w:jc w:val="both"/>
    </w:pPr>
    <w:rPr>
      <w:rFonts w:ascii="Times New Roman" w:hAnsi="Times New Roman" w:eastAsia="宋体" w:cs="Times New Roman"/>
      <w:lang w:val="en-US" w:eastAsia="zh-CN" w:bidi="ar-SA"/>
    </w:rPr>
  </w:style>
  <w:style w:type="paragraph" w:customStyle="1" w:styleId="24">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25">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
    <w:name w:val="实施日期"/>
    <w:basedOn w:val="28"/>
    <w:qFormat/>
    <w:uiPriority w:val="99"/>
    <w:pPr>
      <w:framePr w:hSpace="0" w:wrap="around" w:xAlign="right"/>
      <w:jc w:val="right"/>
    </w:pPr>
  </w:style>
  <w:style w:type="paragraph" w:customStyle="1" w:styleId="2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9">
    <w:name w:val="发布部门"/>
    <w:next w:val="30"/>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标准书脚_奇数页"/>
    <w:qFormat/>
    <w:uiPriority w:val="0"/>
    <w:pPr>
      <w:spacing w:before="120"/>
      <w:jc w:val="right"/>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yujiahui</Company>
  <Pages>8</Pages>
  <Words>2056</Words>
  <Characters>2483</Characters>
  <Lines>18</Lines>
  <Paragraphs>5</Paragraphs>
  <TotalTime>1</TotalTime>
  <ScaleCrop>false</ScaleCrop>
  <LinksUpToDate>false</LinksUpToDate>
  <CharactersWithSpaces>2607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2022-09-02T09:07:00Z</dcterms:created>
  <dc:creator>Apache POI</dc:creator>
  <cp:lastModifiedBy>Pluto</cp:lastModifiedBy>
  <dcterms:modified xsi:type="dcterms:W3CDTF">2025-02-06T02:07:57Z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7A1003DB64AD412EBCAC64C78C5B838C_13</vt:lpwstr>
  </property>
  <property fmtid="{D5CDD505-2E9C-101B-9397-08002B2CF9AE}" pid="4" name="KSOTemplateDocerSaveRecord">
    <vt:lpwstr>eyJoZGlkIjoiZjA2ZTg3M2E0NjA0NTc4MGI1ZTAwOWM4ODUxY2UzOGYiLCJ1c2VySWQiOiI2MDM0NzI1NzQifQ==</vt:lpwstr>
  </property>
</Properties>
</file>