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06A10">
      <w:pPr>
        <w:spacing w:before="480" w:after="480" w:line="288" w:lineRule="auto"/>
        <w:ind w:left="0"/>
        <w:jc w:val="center"/>
        <w:rPr>
          <w:rFonts w:hint="eastAsia" w:ascii="宋体" w:hAnsi="宋体" w:eastAsia="宋体" w:cs="宋体"/>
          <w:b/>
          <w:kern w:val="44"/>
          <w:sz w:val="44"/>
          <w:szCs w:val="24"/>
          <w:lang w:val="en-US" w:eastAsia="zh-CN" w:bidi="ar-SA"/>
        </w:rPr>
      </w:pPr>
      <w:r>
        <w:rPr>
          <w:rFonts w:hint="eastAsia" w:ascii="宋体" w:hAnsi="宋体" w:eastAsia="宋体" w:cs="宋体"/>
          <w:b/>
          <w:kern w:val="44"/>
          <w:sz w:val="44"/>
          <w:szCs w:val="24"/>
          <w:lang w:val="en-US" w:eastAsia="zh-CN" w:bidi="ar-SA"/>
        </w:rPr>
        <w:t>《化妆品用原料 伊利水云母》</w:t>
      </w:r>
    </w:p>
    <w:p w14:paraId="5177AF1D">
      <w:pPr>
        <w:spacing w:before="480" w:after="480" w:line="288" w:lineRule="auto"/>
        <w:ind w:left="0"/>
        <w:jc w:val="center"/>
        <w:rPr>
          <w:rFonts w:hint="eastAsia" w:ascii="宋体" w:hAnsi="宋体" w:eastAsia="宋体" w:cs="宋体"/>
        </w:rPr>
      </w:pPr>
      <w:r>
        <w:rPr>
          <w:rFonts w:hint="eastAsia" w:ascii="宋体" w:hAnsi="宋体" w:eastAsia="宋体" w:cs="宋体"/>
          <w:b/>
          <w:kern w:val="44"/>
          <w:sz w:val="44"/>
          <w:szCs w:val="24"/>
          <w:lang w:val="en-US" w:eastAsia="zh-CN" w:bidi="ar-SA"/>
        </w:rPr>
        <w:t>团体标准编制说明</w:t>
      </w:r>
    </w:p>
    <w:p w14:paraId="14775055">
      <w:pPr>
        <w:spacing w:before="120" w:after="120" w:line="288" w:lineRule="auto"/>
        <w:ind w:left="0" w:firstLine="0"/>
        <w:jc w:val="left"/>
        <w:rPr>
          <w:rFonts w:hint="eastAsia" w:ascii="宋体" w:hAnsi="宋体" w:eastAsia="宋体" w:cs="宋体"/>
          <w:sz w:val="24"/>
          <w:szCs w:val="24"/>
        </w:rPr>
      </w:pPr>
      <w:r>
        <w:rPr>
          <w:rFonts w:hint="eastAsia" w:ascii="宋体" w:hAnsi="宋体" w:eastAsia="宋体" w:cs="宋体"/>
          <w:b/>
          <w:sz w:val="24"/>
          <w:szCs w:val="24"/>
        </w:rPr>
        <w:t>一、标准起草的基本情况（包括简要的起草过程、主要起草单位、起草人等）</w:t>
      </w:r>
    </w:p>
    <w:p w14:paraId="4802F7A9">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伊利水云母又名伊利石，属单斜晶系的含水层状结构硅铝酸盐粘土矿物，常由云母长石风化而成，或由其他矿物蚀变形成，是云母族矿物向蒙脱石族矿物转变的过渡产物，化学组成为K</w:t>
      </w:r>
      <w:r>
        <w:rPr>
          <w:rFonts w:hint="eastAsia" w:ascii="仿宋" w:hAnsi="仿宋" w:eastAsia="仿宋" w:cs="仿宋"/>
          <w:color w:val="auto"/>
          <w:kern w:val="2"/>
          <w:sz w:val="21"/>
          <w:szCs w:val="21"/>
          <w:highlight w:val="none"/>
          <w:vertAlign w:val="subscript"/>
          <w:lang w:val="en-US" w:eastAsia="zh-CN" w:bidi="ar-SA"/>
        </w:rPr>
        <w:t>&lt;1</w:t>
      </w:r>
      <w:r>
        <w:rPr>
          <w:rFonts w:hint="eastAsia" w:ascii="仿宋" w:hAnsi="仿宋" w:eastAsia="仿宋" w:cs="仿宋"/>
          <w:color w:val="auto"/>
          <w:kern w:val="2"/>
          <w:sz w:val="21"/>
          <w:szCs w:val="21"/>
          <w:highlight w:val="none"/>
          <w:lang w:val="en-US" w:eastAsia="zh-CN" w:bidi="ar-SA"/>
        </w:rPr>
        <w:t>(Al,R²) (Si,Al)Si</w:t>
      </w:r>
      <w:r>
        <w:rPr>
          <w:rFonts w:hint="eastAsia" w:ascii="仿宋" w:hAnsi="仿宋" w:eastAsia="仿宋" w:cs="仿宋"/>
          <w:color w:val="auto"/>
          <w:kern w:val="2"/>
          <w:sz w:val="21"/>
          <w:szCs w:val="21"/>
          <w:highlight w:val="none"/>
          <w:vertAlign w:val="subscript"/>
          <w:lang w:val="en-US" w:eastAsia="zh-CN" w:bidi="ar-SA"/>
        </w:rPr>
        <w:t>3</w:t>
      </w:r>
      <w:r>
        <w:rPr>
          <w:rFonts w:hint="eastAsia" w:ascii="仿宋" w:hAnsi="仿宋" w:eastAsia="仿宋" w:cs="仿宋"/>
          <w:color w:val="auto"/>
          <w:kern w:val="2"/>
          <w:sz w:val="21"/>
          <w:szCs w:val="21"/>
          <w:highlight w:val="none"/>
          <w:lang w:val="en-US" w:eastAsia="zh-CN" w:bidi="ar-SA"/>
        </w:rPr>
        <w:t>O</w:t>
      </w:r>
      <w:r>
        <w:rPr>
          <w:rFonts w:hint="eastAsia" w:ascii="仿宋" w:hAnsi="仿宋" w:eastAsia="仿宋" w:cs="仿宋"/>
          <w:color w:val="auto"/>
          <w:kern w:val="2"/>
          <w:sz w:val="21"/>
          <w:szCs w:val="21"/>
          <w:highlight w:val="none"/>
          <w:vertAlign w:val="subscript"/>
          <w:lang w:val="en-US" w:eastAsia="zh-CN" w:bidi="ar-SA"/>
        </w:rPr>
        <w:t>10</w:t>
      </w:r>
      <w:r>
        <w:rPr>
          <w:rFonts w:hint="eastAsia" w:ascii="仿宋" w:hAnsi="仿宋" w:eastAsia="仿宋" w:cs="仿宋"/>
          <w:color w:val="auto"/>
          <w:kern w:val="2"/>
          <w:sz w:val="21"/>
          <w:szCs w:val="21"/>
          <w:highlight w:val="none"/>
          <w:lang w:val="en-US" w:eastAsia="zh-CN" w:bidi="ar-SA"/>
        </w:rPr>
        <w:t>][OH]</w:t>
      </w:r>
      <w:r>
        <w:rPr>
          <w:rFonts w:hint="eastAsia" w:ascii="仿宋" w:hAnsi="仿宋" w:eastAsia="仿宋" w:cs="仿宋"/>
          <w:color w:val="auto"/>
          <w:kern w:val="2"/>
          <w:sz w:val="21"/>
          <w:szCs w:val="21"/>
          <w:highlight w:val="none"/>
          <w:vertAlign w:val="subscript"/>
          <w:lang w:val="en-US" w:eastAsia="zh-CN" w:bidi="ar-SA"/>
        </w:rPr>
        <w:t>2</w:t>
      </w:r>
      <w:r>
        <w:rPr>
          <w:rFonts w:hint="eastAsia" w:ascii="仿宋" w:hAnsi="仿宋" w:eastAsia="仿宋" w:cs="仿宋"/>
          <w:color w:val="auto"/>
          <w:kern w:val="2"/>
          <w:sz w:val="21"/>
          <w:szCs w:val="21"/>
          <w:highlight w:val="none"/>
          <w:lang w:val="en-US" w:eastAsia="zh-CN" w:bidi="ar-SA"/>
        </w:rPr>
        <w:t>。具有富钾、高铝、高吸油率、紫外线透过率低、白度高、耐磨性和抗酸碱性等特性，富含铁、硅、钙、镁等多种有益元素，在化妆品中可用作摩擦剂、吸附剂、抗结块剂。</w:t>
      </w:r>
    </w:p>
    <w:p w14:paraId="3C909F02">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伊利水云母因高的层边缘比例及负电性，在吸附控油方面显示出优异的效果，能深度清洁肌肤，祛除皮肤表面的多余油脂，使肌肤呈现自然光泽，保护皮肤健康，防止皮肤水分流失，且对人体皮肤无毒无害，在化妆品中有着极大的应用价值，现已收载于《已使用化妆品原料目录》(2021版)。</w:t>
      </w:r>
    </w:p>
    <w:p w14:paraId="4FB37144">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然而我国对于伊利水云母的研究较少，在化妆品领域更是缺乏控制其质量安全的检验标准。因此，为落实《化妆品监督管理</w:t>
      </w:r>
      <w:r>
        <w:rPr>
          <w:rFonts w:hint="eastAsia" w:ascii="仿宋" w:hAnsi="仿宋" w:eastAsia="仿宋" w:cs="仿宋"/>
          <w:color w:val="auto"/>
          <w:kern w:val="2"/>
          <w:sz w:val="21"/>
          <w:szCs w:val="21"/>
          <w:highlight w:val="none"/>
          <w:lang w:val="en-US" w:eastAsia="zh-CN" w:bidi="ar-SA"/>
        </w:rPr>
        <w:t>条例</w:t>
      </w:r>
      <w:r>
        <w:rPr>
          <w:rFonts w:hint="eastAsia" w:ascii="仿宋" w:hAnsi="仿宋" w:eastAsia="仿宋" w:cs="仿宋"/>
          <w:color w:val="auto"/>
          <w:kern w:val="2"/>
          <w:sz w:val="21"/>
          <w:szCs w:val="21"/>
          <w:highlight w:val="none"/>
          <w:lang w:val="en-US" w:eastAsia="zh-CN" w:bidi="ar-SA"/>
        </w:rPr>
        <w:t>》规定，从源头把控化妆品的安全和功效，经水羊集团股份有限公司提案，中国香料香精化妆品工业协会提出制定《化妆品用原料 伊利水云母》团体标准，经立项公示通过立项，组织制定工作。</w:t>
      </w:r>
    </w:p>
    <w:p w14:paraId="227B71A0">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由于此产品目前国内外没有相关的法规标准，本标准起草制定主要参照《化妆品安全技术规范》2015年版进行编制。</w:t>
      </w:r>
    </w:p>
    <w:p w14:paraId="392CE18C">
      <w:pPr>
        <w:spacing w:before="120" w:after="120" w:line="288" w:lineRule="auto"/>
        <w:ind w:left="0" w:firstLine="0"/>
        <w:jc w:val="left"/>
        <w:rPr>
          <w:rFonts w:hint="eastAsia" w:ascii="宋体" w:hAnsi="宋体" w:eastAsia="宋体" w:cs="宋体"/>
        </w:rPr>
      </w:pPr>
      <w:r>
        <w:rPr>
          <w:rFonts w:hint="eastAsia" w:ascii="宋体" w:hAnsi="宋体" w:eastAsia="宋体" w:cs="宋体"/>
          <w:b/>
          <w:sz w:val="22"/>
          <w:lang w:val="en-US" w:eastAsia="zh-CN"/>
        </w:rPr>
        <w:t>1.</w:t>
      </w:r>
      <w:r>
        <w:rPr>
          <w:rFonts w:hint="eastAsia" w:ascii="宋体" w:hAnsi="宋体" w:eastAsia="宋体" w:cs="宋体"/>
          <w:b/>
          <w:sz w:val="22"/>
        </w:rPr>
        <w:t>工作来源</w:t>
      </w:r>
    </w:p>
    <w:p w14:paraId="7B70109D">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2023年1月，本团体标准经中国香料香精化妆品工业协会审议通过立项，通知见《关于2023年协会团体标准（第一批）立项公示的通知》。</w:t>
      </w:r>
    </w:p>
    <w:p w14:paraId="7DDE2AD1">
      <w:pPr>
        <w:numPr>
          <w:ilvl w:val="-1"/>
          <w:numId w:val="0"/>
        </w:numPr>
        <w:spacing w:before="120" w:after="120" w:line="288" w:lineRule="auto"/>
        <w:ind w:left="0"/>
        <w:jc w:val="left"/>
        <w:rPr>
          <w:rFonts w:hint="eastAsia" w:ascii="宋体" w:hAnsi="宋体" w:eastAsia="宋体" w:cs="宋体"/>
        </w:rPr>
      </w:pPr>
      <w:r>
        <w:rPr>
          <w:rFonts w:hint="eastAsia" w:ascii="宋体" w:hAnsi="宋体" w:eastAsia="宋体" w:cs="宋体"/>
          <w:b/>
          <w:sz w:val="22"/>
          <w:lang w:val="en-US" w:eastAsia="zh-CN"/>
        </w:rPr>
        <w:t>2.</w:t>
      </w:r>
      <w:r>
        <w:rPr>
          <w:rFonts w:hint="eastAsia" w:ascii="宋体" w:hAnsi="宋体" w:eastAsia="宋体" w:cs="宋体"/>
          <w:b/>
          <w:sz w:val="22"/>
        </w:rPr>
        <w:t>起草单位与主要起草人</w:t>
      </w:r>
    </w:p>
    <w:p w14:paraId="2450861E">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主要起草单位：水羊集团股份有限公司</w:t>
      </w:r>
      <w:r>
        <w:rPr>
          <w:rFonts w:hint="eastAsia" w:ascii="仿宋" w:hAnsi="仿宋" w:eastAsia="仿宋" w:cs="仿宋"/>
          <w:color w:val="auto"/>
          <w:kern w:val="2"/>
          <w:sz w:val="21"/>
          <w:szCs w:val="21"/>
          <w:highlight w:val="none"/>
          <w:lang w:val="en-US" w:eastAsia="zh-CN" w:bidi="ar-SA"/>
        </w:rPr>
        <w:t>。</w:t>
      </w:r>
    </w:p>
    <w:p w14:paraId="4520FD59">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协作起草单位：水羊化妆品制造有限公司、安徽格锐新材料科技有限公司、湖南省药品检验检测研究院</w:t>
      </w:r>
      <w:r>
        <w:rPr>
          <w:rFonts w:hint="eastAsia" w:ascii="仿宋" w:hAnsi="仿宋" w:eastAsia="仿宋" w:cs="仿宋"/>
          <w:color w:val="auto"/>
          <w:kern w:val="2"/>
          <w:sz w:val="21"/>
          <w:szCs w:val="21"/>
          <w:highlight w:val="none"/>
          <w:lang w:val="en-US" w:eastAsia="zh-CN" w:bidi="ar-SA"/>
        </w:rPr>
        <w:t>。</w:t>
      </w:r>
    </w:p>
    <w:p w14:paraId="1ACF18A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主要起草成员：张廷志、颜少尉、李印昌、刘泽鑫、黄永健、王凯、李旭杰、徐筱群、黄意、王凯、章为</w:t>
      </w:r>
      <w:r>
        <w:rPr>
          <w:rFonts w:hint="eastAsia" w:ascii="仿宋" w:hAnsi="仿宋" w:eastAsia="仿宋" w:cs="仿宋"/>
          <w:color w:val="auto"/>
          <w:kern w:val="2"/>
          <w:sz w:val="21"/>
          <w:szCs w:val="21"/>
          <w:highlight w:val="none"/>
          <w:lang w:val="en-US" w:eastAsia="zh-CN" w:bidi="ar-SA"/>
        </w:rPr>
        <w:t>。</w:t>
      </w:r>
    </w:p>
    <w:p w14:paraId="2C7E362D">
      <w:pPr>
        <w:numPr>
          <w:ilvl w:val="-1"/>
          <w:numId w:val="0"/>
        </w:numPr>
        <w:spacing w:before="0" w:after="0" w:line="360" w:lineRule="auto"/>
        <w:ind w:left="0" w:firstLine="0" w:firstLineChars="0"/>
        <w:jc w:val="left"/>
        <w:rPr>
          <w:rFonts w:hint="eastAsia" w:ascii="宋体" w:hAnsi="宋体" w:eastAsia="宋体" w:cs="宋体"/>
        </w:rPr>
      </w:pPr>
      <w:r>
        <w:rPr>
          <w:rFonts w:hint="eastAsia" w:ascii="仿宋" w:hAnsi="仿宋" w:eastAsia="仿宋" w:cs="仿宋"/>
          <w:color w:val="auto"/>
          <w:kern w:val="2"/>
          <w:sz w:val="21"/>
          <w:szCs w:val="21"/>
          <w:highlight w:val="none"/>
          <w:lang w:val="en-US" w:eastAsia="zh-CN" w:bidi="ar-SA"/>
        </w:rPr>
        <w:t>3.</w:t>
      </w:r>
      <w:r>
        <w:rPr>
          <w:rFonts w:hint="eastAsia" w:ascii="宋体" w:hAnsi="宋体" w:eastAsia="宋体" w:cs="宋体"/>
          <w:b/>
          <w:sz w:val="22"/>
        </w:rPr>
        <w:t>主要工作过程</w:t>
      </w:r>
    </w:p>
    <w:p w14:paraId="257C5EDD">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2022年9月，水羊集团股份有限公司作为立项申请人向中国香料香精化妆品工业协会提出《化妆品用原料 伊利水云母》团体标准立项提案。</w:t>
      </w:r>
    </w:p>
    <w:p w14:paraId="25F89703">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2023年1月10日，经中国香料香精化妆品工业协会初审并征求行业专家立项论证和审核，《化妆品用原料 伊利水云母》团体标准正式获批立项，并在协会官方网站进行了为期15日的公示。</w:t>
      </w:r>
    </w:p>
    <w:p w14:paraId="4FEF3062">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2023年10月完成《化妆品用原料 伊利水云母》初稿；2024年11月修改第二版。</w:t>
      </w:r>
    </w:p>
    <w:p w14:paraId="4719860E">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本标准由水羊集团股份有限公司主持起草，水羊化妆品制造有限公司、安徽格锐新材料科技有限公司、湖南省药品检验检测研究院协作起草和复核。</w:t>
      </w:r>
    </w:p>
    <w:p w14:paraId="5D80E4C8">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在总结项目组多年科研成果和生产实践经验，以及对生产第一线实际调查的基础上，参照目前化妆品用原料的国内外相关标准要求编写而成。本标准中涉及的指标的检验方法均有相应国家、行业标准直接引用，并请广州质量监督检测研究院进行了同批次产品复核，复核结果也显示指标设置具有合理性。</w:t>
      </w:r>
    </w:p>
    <w:p w14:paraId="145126FB">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该标准的基本框架，包括：化妆品用原料伊利水云母的要求、检验方法、检验规则以及包装、运输和贮存等内容。</w:t>
      </w:r>
    </w:p>
    <w:p w14:paraId="26E8CD93">
      <w:pPr>
        <w:spacing w:before="120" w:after="120" w:line="288" w:lineRule="auto"/>
        <w:ind w:left="0" w:firstLine="0"/>
        <w:jc w:val="left"/>
        <w:rPr>
          <w:rFonts w:hint="eastAsia" w:ascii="宋体" w:hAnsi="宋体" w:eastAsia="宋体" w:cs="宋体"/>
        </w:rPr>
      </w:pPr>
      <w:r>
        <w:rPr>
          <w:rFonts w:hint="eastAsia" w:ascii="宋体" w:hAnsi="宋体" w:eastAsia="宋体" w:cs="宋体"/>
          <w:b/>
          <w:sz w:val="22"/>
        </w:rPr>
        <w:t>二、与我国有关法律法规和其他标准的关系</w:t>
      </w:r>
    </w:p>
    <w:p w14:paraId="27F6647D">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目前，现行关于伊利水云母原料还没有公开的国家标准，化妆品行业未见相关标准，本标准指标参照《化妆品安全技术规范》2015年版，结合行业其他化妆品原料标准进行编制。</w:t>
      </w:r>
    </w:p>
    <w:p w14:paraId="7BA524D0">
      <w:pPr>
        <w:spacing w:before="120" w:after="120" w:line="288" w:lineRule="auto"/>
        <w:ind w:left="0" w:firstLine="0"/>
        <w:jc w:val="left"/>
        <w:rPr>
          <w:rFonts w:hint="eastAsia" w:ascii="宋体" w:hAnsi="宋体" w:eastAsia="宋体" w:cs="宋体"/>
        </w:rPr>
      </w:pPr>
      <w:r>
        <w:rPr>
          <w:rFonts w:hint="eastAsia" w:ascii="宋体" w:hAnsi="宋体" w:eastAsia="宋体" w:cs="宋体"/>
          <w:b/>
          <w:sz w:val="22"/>
        </w:rPr>
        <w:t>三、国外有关法律、法规和标准情况的说明</w:t>
      </w:r>
    </w:p>
    <w:p w14:paraId="43742F9E">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目前，伊利水云母原料国外没有公开的标准。</w:t>
      </w:r>
    </w:p>
    <w:p w14:paraId="174B0822">
      <w:pPr>
        <w:spacing w:before="120" w:after="120" w:line="288" w:lineRule="auto"/>
        <w:ind w:left="0" w:firstLine="0"/>
        <w:jc w:val="left"/>
        <w:rPr>
          <w:rFonts w:hint="eastAsia" w:ascii="宋体" w:hAnsi="宋体" w:eastAsia="宋体" w:cs="宋体"/>
        </w:rPr>
      </w:pPr>
      <w:r>
        <w:rPr>
          <w:rFonts w:hint="eastAsia" w:ascii="宋体" w:hAnsi="宋体" w:eastAsia="宋体" w:cs="宋体"/>
          <w:b/>
          <w:sz w:val="22"/>
        </w:rPr>
        <w:t>四、标准的制（修）订与起草原则</w:t>
      </w:r>
    </w:p>
    <w:p w14:paraId="5DF51DCE">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本标准的制定符合产业发展的原则，本着先进性、科学性、合理性和可操作性的原则以及标准的目标、统一性、协调性、适用性、一致性和规范性原则来进行本标准的制定工作。</w:t>
      </w:r>
    </w:p>
    <w:p w14:paraId="45A5C016">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本标准起草过程中，主要依据《GB/T 1.1标准化工作导则 第1部分:标准化文件的结构和起草规则》进行编写。本标准制定过程中，主要参考了以下标准或文件：</w:t>
      </w:r>
    </w:p>
    <w:p w14:paraId="509010F2">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6682 分析实验室用水规格和试验方法</w:t>
      </w:r>
    </w:p>
    <w:p w14:paraId="2AA69D1E">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5211.15 颜料和体质颜料通用试验方法 第15部分：吸油量的测定</w:t>
      </w:r>
    </w:p>
    <w:p w14:paraId="3247BC4F">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5211.3 颜料和体质颜料通用试验方法 第3部分：105℃挥发物的测定</w:t>
      </w:r>
    </w:p>
    <w:p w14:paraId="2038F0C5">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5211.6 颜料和体质颜料通用试验方法 第6部分：水悬浮液pH值的测定</w:t>
      </w:r>
    </w:p>
    <w:p w14:paraId="695D246A">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8170 数值修约规则与极限数值的表示和判定</w:t>
      </w:r>
    </w:p>
    <w:p w14:paraId="0B1EB085">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19077 粒度分布激光衍射法</w:t>
      </w:r>
    </w:p>
    <w:p w14:paraId="0640186A">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23774 无机化工产品白度测定的通用方法</w:t>
      </w:r>
    </w:p>
    <w:p w14:paraId="185BB170">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37625 化妆品检验规则</w:t>
      </w:r>
    </w:p>
    <w:p w14:paraId="6FFD8B32">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SY T 5163-2018沉积岩中黏土矿物和常见非黏土矿物X射线衍射分析方法</w:t>
      </w:r>
    </w:p>
    <w:p w14:paraId="09932AFC">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《化妆品安全技术规范》（2015年版）（国家食品药品监督管理总局公告 2015 年第 268 号）</w:t>
      </w:r>
    </w:p>
    <w:p w14:paraId="78102B96">
      <w:pPr>
        <w:spacing w:before="120" w:after="120" w:line="288" w:lineRule="auto"/>
        <w:ind w:left="0"/>
        <w:jc w:val="left"/>
        <w:outlineLvl w:val="9"/>
        <w:rPr>
          <w:rFonts w:hint="eastAsia" w:ascii="宋体" w:hAnsi="宋体" w:eastAsia="宋体" w:cs="宋体"/>
          <w:b/>
          <w:sz w:val="22"/>
        </w:rPr>
      </w:pPr>
      <w:bookmarkStart w:id="0" w:name="heading_1"/>
      <w:r>
        <w:rPr>
          <w:rFonts w:hint="eastAsia" w:ascii="宋体" w:hAnsi="宋体" w:eastAsia="宋体" w:cs="宋体"/>
          <w:b/>
          <w:color w:val="auto"/>
          <w:sz w:val="22"/>
          <w:lang w:val="en-US" w:eastAsia="zh-CN"/>
        </w:rPr>
        <w:t>1.</w:t>
      </w:r>
      <w:r>
        <w:rPr>
          <w:rFonts w:hint="eastAsia" w:ascii="宋体" w:hAnsi="宋体" w:eastAsia="宋体" w:cs="宋体"/>
          <w:b/>
          <w:sz w:val="22"/>
        </w:rPr>
        <w:t>确定各项技术内容（如技术指标、参数、公式、试验方法、检验规则等）的依据（与国际相关标准的对比情况，与国际标准不一致的，应当提供科学依据）</w:t>
      </w:r>
      <w:bookmarkEnd w:id="0"/>
    </w:p>
    <w:tbl>
      <w:tblPr>
        <w:tblStyle w:val="4"/>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050"/>
        <w:gridCol w:w="2040"/>
        <w:gridCol w:w="3120"/>
        <w:gridCol w:w="2070"/>
      </w:tblGrid>
      <w:tr w14:paraId="28CDBA5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57B47F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指标</w:t>
            </w: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8B96C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本标准要求</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DDF5C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指标制定依据</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75D4F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测试方法</w:t>
            </w:r>
          </w:p>
        </w:tc>
      </w:tr>
      <w:tr w14:paraId="45460CB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6ED40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感官指标</w:t>
            </w: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98353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性状：灰白色粉末，无特殊气味</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48627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外观性状是对色泽和外表感观的规定，根据本品的理化特性制定本指标。</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2981B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w:t>
            </w:r>
          </w:p>
        </w:tc>
      </w:tr>
      <w:tr w14:paraId="287EB0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09CFC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理化指标</w:t>
            </w: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12E16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105℃挥发物/%：≤4.0%</w:t>
            </w:r>
          </w:p>
          <w:p w14:paraId="189BC37A">
            <w:pPr>
              <w:spacing w:before="120" w:after="120" w:line="288" w:lineRule="auto"/>
              <w:ind w:left="0"/>
              <w:jc w:val="left"/>
              <w:rPr>
                <w:rFonts w:hint="eastAsia" w:ascii="仿宋" w:hAnsi="仿宋" w:eastAsia="仿宋" w:cs="仿宋"/>
                <w:sz w:val="18"/>
                <w:szCs w:val="18"/>
              </w:rPr>
            </w:pP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F51A3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105℃挥发物是对矿物粉体含水率的规定，根据本品的理化特性制定本指标。</w:t>
            </w:r>
          </w:p>
          <w:p w14:paraId="4BF59837">
            <w:pPr>
              <w:spacing w:before="120" w:after="120" w:line="288" w:lineRule="auto"/>
              <w:ind w:left="0"/>
              <w:jc w:val="left"/>
              <w:rPr>
                <w:rFonts w:hint="eastAsia" w:ascii="仿宋" w:hAnsi="仿宋" w:eastAsia="仿宋" w:cs="仿宋"/>
                <w:sz w:val="18"/>
                <w:szCs w:val="18"/>
              </w:rPr>
            </w:pP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BDB075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GB/T 5211.3颜料和体质颜料通用试验方法 第3部分：105℃挥发物的测定（A法）</w:t>
            </w:r>
          </w:p>
        </w:tc>
      </w:tr>
      <w:tr w14:paraId="21B0552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E820AA">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089EE3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纯度：40%-90%</w:t>
            </w:r>
          </w:p>
          <w:p w14:paraId="67FC1C00">
            <w:pPr>
              <w:spacing w:before="120" w:after="120" w:line="288" w:lineRule="auto"/>
              <w:ind w:left="0"/>
              <w:jc w:val="left"/>
              <w:rPr>
                <w:rFonts w:hint="eastAsia" w:ascii="仿宋" w:hAnsi="仿宋" w:eastAsia="仿宋" w:cs="仿宋"/>
                <w:sz w:val="18"/>
                <w:szCs w:val="18"/>
              </w:rPr>
            </w:pP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C97AF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纯度主要与其控油效果相关，在该纯度范围内控油效果相差不大，基于此制定本指标。</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27F7A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SY_T 5163-2018沉积岩中黏土矿物和常见非黏土矿物X射线衍射分析方法</w:t>
            </w:r>
          </w:p>
        </w:tc>
      </w:tr>
      <w:tr w14:paraId="66B0E75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7F0DCF">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4B6D6F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pH（10%水溶液）：4-10</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73B93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PH值是对矿物粉体酸碱度的体现，根据本品的理化性质制定本指标。</w:t>
            </w:r>
          </w:p>
          <w:p w14:paraId="1F12DC8D">
            <w:pPr>
              <w:spacing w:before="120" w:after="120" w:line="288" w:lineRule="auto"/>
              <w:ind w:left="0"/>
              <w:jc w:val="left"/>
              <w:rPr>
                <w:rFonts w:hint="eastAsia" w:ascii="仿宋" w:hAnsi="仿宋" w:eastAsia="仿宋" w:cs="仿宋"/>
                <w:sz w:val="18"/>
                <w:szCs w:val="18"/>
              </w:rPr>
            </w:pP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B52F2C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GB/T 5211.6-2020颜料和体质颜料通用试验方法</w:t>
            </w:r>
          </w:p>
        </w:tc>
      </w:tr>
      <w:tr w14:paraId="5442FB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D28BE4">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199FF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白度/%：≥50</w:t>
            </w:r>
          </w:p>
          <w:p w14:paraId="162D7689">
            <w:pPr>
              <w:spacing w:before="120" w:after="120" w:line="288" w:lineRule="auto"/>
              <w:ind w:left="0"/>
              <w:jc w:val="left"/>
              <w:rPr>
                <w:rFonts w:hint="eastAsia" w:ascii="仿宋" w:hAnsi="仿宋" w:eastAsia="仿宋" w:cs="仿宋"/>
                <w:sz w:val="18"/>
                <w:szCs w:val="18"/>
              </w:rPr>
            </w:pP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8A840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白度指标是粉体的基本性质，对于化妆品的颜色有着比较大的影响，根据本品的理化特性制定本指标。</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DAC84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GB/T 23774 无机化工产品白度测定的通用方法</w:t>
            </w:r>
          </w:p>
        </w:tc>
      </w:tr>
      <w:tr w14:paraId="7E7706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E714C7">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681FE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 xml:space="preserve">平均粒径D50：≤5μm </w:t>
            </w:r>
          </w:p>
          <w:p w14:paraId="69696E97">
            <w:pPr>
              <w:spacing w:before="120" w:after="120" w:line="288" w:lineRule="auto"/>
              <w:ind w:left="0"/>
              <w:jc w:val="left"/>
              <w:rPr>
                <w:rFonts w:hint="eastAsia" w:ascii="仿宋" w:hAnsi="仿宋" w:eastAsia="仿宋" w:cs="仿宋"/>
                <w:sz w:val="18"/>
                <w:szCs w:val="18"/>
              </w:rPr>
            </w:pP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0F2EF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平均粒径D50是指颗粒的粒径中位值，对于产品肤感细腻性，爽滑度的应用指标，对于化妆品的肤感等有着非常大的影响。</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10AF4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GB/T 19077 粒度分布激光衍射法</w:t>
            </w:r>
          </w:p>
          <w:p w14:paraId="037DA266">
            <w:pPr>
              <w:spacing w:before="120" w:after="120" w:line="288" w:lineRule="auto"/>
              <w:ind w:left="0"/>
              <w:jc w:val="left"/>
              <w:rPr>
                <w:rFonts w:hint="eastAsia" w:ascii="仿宋" w:hAnsi="仿宋" w:eastAsia="仿宋" w:cs="仿宋"/>
                <w:sz w:val="18"/>
                <w:szCs w:val="18"/>
              </w:rPr>
            </w:pPr>
          </w:p>
        </w:tc>
      </w:tr>
      <w:tr w14:paraId="5E5FF5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AA1D80F">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4CF9F7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吸油量：20~40g/100g</w:t>
            </w:r>
          </w:p>
          <w:p w14:paraId="337E5F22">
            <w:pPr>
              <w:spacing w:before="120" w:after="120" w:line="288" w:lineRule="auto"/>
              <w:ind w:left="0"/>
              <w:jc w:val="left"/>
              <w:rPr>
                <w:rFonts w:hint="eastAsia" w:ascii="仿宋" w:hAnsi="仿宋" w:eastAsia="仿宋" w:cs="仿宋"/>
                <w:sz w:val="18"/>
                <w:szCs w:val="18"/>
              </w:rPr>
            </w:pP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C8ADB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吸油量指标是粉体综合性质体现，对于配方有非常大的参考依据。</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CDA01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GB/T 5211.15 颜料和体质颜料通用试验方法 第15部分：吸油量的测定</w:t>
            </w:r>
          </w:p>
        </w:tc>
      </w:tr>
      <w:tr w14:paraId="4A2CDE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8C2C1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微生物及有害物质指标</w:t>
            </w: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3FBEA1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(mg/kg)：≤25</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E907DE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  ≤25ppm</w:t>
            </w:r>
          </w:p>
          <w:p w14:paraId="44FA152E">
            <w:pPr>
              <w:spacing w:before="120" w:after="120" w:line="288" w:lineRule="auto"/>
              <w:ind w:left="0"/>
              <w:jc w:val="left"/>
              <w:rPr>
                <w:rFonts w:hint="eastAsia" w:ascii="仿宋" w:hAnsi="仿宋" w:eastAsia="仿宋" w:cs="仿宋"/>
                <w:sz w:val="18"/>
                <w:szCs w:val="18"/>
              </w:rPr>
            </w:pP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8D2C8E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280BABE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4B5E52A">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C7E007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镉/（mg/kg）：≤1.0</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7D78A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 ≤1ppm</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CE98CB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2749D3E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230BDA">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80A7D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(mg/kg)：≤4.0</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B228AF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  ≤4ppm</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521E6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5E38298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8CD3A4">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68F0E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(mg/kg)：≤1.0</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48899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 ≤1ppm</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6612F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3E7566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9212BD">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1A85D7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   ≤1000</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16187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 ≤1000</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9119FE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20499A4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2F7BA3">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F14AD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霉菌和酵母菌总数/（CFU/g）：≤100</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1626F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 ≤100</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050B5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54C893D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91EEBE5">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31730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耐热大肠菌群/g</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F8518B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F89D4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260C415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FEAE02">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6487A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金黄色葡萄球菌/g</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6892B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A1B76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660FFBE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50"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AEEC0B">
            <w:pPr>
              <w:spacing w:before="120" w:after="120" w:line="288" w:lineRule="auto"/>
              <w:ind w:left="0"/>
              <w:jc w:val="left"/>
              <w:rPr>
                <w:rFonts w:hint="eastAsia" w:ascii="仿宋" w:hAnsi="仿宋" w:eastAsia="仿宋" w:cs="仿宋"/>
                <w:sz w:val="18"/>
                <w:szCs w:val="18"/>
              </w:rPr>
            </w:pPr>
          </w:p>
        </w:tc>
        <w:tc>
          <w:tcPr>
            <w:tcW w:w="2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A89DE6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铜绿假单胞菌/g</w:t>
            </w:r>
          </w:p>
        </w:tc>
        <w:tc>
          <w:tcPr>
            <w:tcW w:w="31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2B580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E2225B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bl>
    <w:p w14:paraId="0FF2EDCD">
      <w:pPr>
        <w:spacing w:before="120" w:after="120" w:line="288" w:lineRule="auto"/>
        <w:ind w:left="0" w:firstLine="0"/>
        <w:jc w:val="left"/>
        <w:rPr>
          <w:rFonts w:hint="eastAsia" w:ascii="宋体" w:hAnsi="宋体" w:eastAsia="宋体" w:cs="宋体"/>
          <w:b/>
          <w:sz w:val="22"/>
        </w:rPr>
      </w:pPr>
    </w:p>
    <w:p w14:paraId="019B1115">
      <w:pPr>
        <w:spacing w:before="120" w:after="120" w:line="288" w:lineRule="auto"/>
        <w:ind w:left="0" w:firstLine="0"/>
        <w:jc w:val="left"/>
        <w:outlineLvl w:val="9"/>
        <w:rPr>
          <w:rFonts w:hint="eastAsia" w:ascii="宋体" w:hAnsi="宋体" w:eastAsia="宋体" w:cs="宋体"/>
          <w:b/>
          <w:sz w:val="22"/>
        </w:rPr>
      </w:pPr>
      <w:r>
        <w:rPr>
          <w:rFonts w:hint="eastAsia" w:ascii="宋体" w:hAnsi="宋体" w:eastAsia="宋体" w:cs="宋体"/>
          <w:b/>
          <w:sz w:val="22"/>
        </w:rPr>
        <w:t>2.主要试验（或验证）情况分析</w:t>
      </w:r>
    </w:p>
    <w:p w14:paraId="1F7F5A24">
      <w:pPr>
        <w:spacing w:before="0" w:after="0" w:line="360" w:lineRule="auto"/>
        <w:ind w:left="0" w:firstLine="420" w:firstLineChars="20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为了验证了解伊利水云母的质量情况，为技术指标的确定提供依据，起草工作组将水羊制造及格锐新材料两家单位6批次产品进行检测，并将其中一批次产品提交广州质量监督检测研究院进行数据验证，各项指标检测数据见表1：</w:t>
      </w:r>
    </w:p>
    <w:p w14:paraId="63297642">
      <w:pPr>
        <w:spacing w:before="120" w:after="120" w:line="288" w:lineRule="auto"/>
        <w:ind w:left="0" w:firstLine="0"/>
        <w:jc w:val="center"/>
        <w:outlineLvl w:val="9"/>
        <w:rPr>
          <w:rFonts w:hint="eastAsia" w:ascii="宋体" w:hAnsi="宋体" w:eastAsia="宋体" w:cs="宋体"/>
          <w:b/>
          <w:sz w:val="22"/>
        </w:rPr>
      </w:pPr>
      <w:r>
        <w:rPr>
          <w:rFonts w:hint="eastAsia" w:ascii="宋体" w:hAnsi="宋体" w:eastAsia="宋体" w:cs="宋体"/>
          <w:b/>
          <w:sz w:val="22"/>
        </w:rPr>
        <w:t>表1 水羊化妆品制造有限公司、安徽格锐新材料科技有限公司的检测结果汇总</w:t>
      </w:r>
    </w:p>
    <w:tbl>
      <w:tblPr>
        <w:tblStyle w:val="4"/>
        <w:tblW w:w="9767"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424"/>
        <w:gridCol w:w="1414"/>
        <w:gridCol w:w="1455"/>
        <w:gridCol w:w="1443"/>
        <w:gridCol w:w="1385"/>
        <w:gridCol w:w="1283"/>
        <w:gridCol w:w="1363"/>
      </w:tblGrid>
      <w:tr w14:paraId="375FEE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E5CDC0">
            <w:pPr>
              <w:spacing w:before="120" w:after="120" w:line="360" w:lineRule="auto"/>
              <w:ind w:left="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企业名称</w:t>
            </w:r>
          </w:p>
        </w:tc>
        <w:tc>
          <w:tcPr>
            <w:tcW w:w="4312"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41ECF5">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水羊化妆品制造有限公司</w:t>
            </w:r>
          </w:p>
        </w:tc>
        <w:tc>
          <w:tcPr>
            <w:tcW w:w="4031" w:type="dxa"/>
            <w:gridSpan w:val="3"/>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2FCEC1">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安徽格锐新材料科技有限公司</w:t>
            </w:r>
          </w:p>
        </w:tc>
      </w:tr>
      <w:tr w14:paraId="2070246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34" w:hRule="atLeast"/>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FBCFFBA">
            <w:pPr>
              <w:snapToGrid w:val="0"/>
              <w:spacing w:before="120" w:after="120" w:line="360" w:lineRule="auto"/>
              <w:ind w:left="0"/>
              <w:jc w:val="center"/>
              <w:rPr>
                <w:rFonts w:hint="eastAsia" w:ascii="仿宋" w:hAnsi="仿宋" w:eastAsia="仿宋" w:cs="仿宋"/>
                <w:sz w:val="18"/>
                <w:szCs w:val="18"/>
                <w:lang w:val="en-US" w:eastAsia="zh-CN"/>
              </w:rPr>
            </w:pPr>
          </w:p>
          <w:p w14:paraId="506E48DD">
            <w:pPr>
              <w:snapToGrid w:val="0"/>
              <w:spacing w:before="120" w:after="120" w:line="360" w:lineRule="auto"/>
              <w:ind w:left="0"/>
              <w:jc w:val="center"/>
              <mc:AlternateContent>
                <mc:Choice Requires="wpsCustomData">
                  <wpsCustomData:diagonalParaType/>
                </mc:Choice>
              </mc:AlternateConten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指标</w:t>
            </w:r>
          </w:p>
          <w:p w14:paraId="7F1B3663">
            <w:pPr>
              <w:spacing w:before="120" w:after="120" w:line="360" w:lineRule="auto"/>
              <w:ind w:left="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批次</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0CA9F0">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YP1</w:t>
            </w:r>
          </w:p>
          <w:p w14:paraId="2048BEAB">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SY20230605</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F5F80F">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YP2</w:t>
            </w:r>
          </w:p>
          <w:p w14:paraId="512D9FBF">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SY20220707</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EEFCF7">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YP3</w:t>
            </w:r>
          </w:p>
          <w:p w14:paraId="6753A1F8">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SY20210809</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2A4B89">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YP4</w:t>
            </w:r>
          </w:p>
          <w:p w14:paraId="1C50B75B">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Y2101M8-2</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4D26E7">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YP5</w:t>
            </w:r>
          </w:p>
          <w:p w14:paraId="2B48FBCF">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Y2112M8-1</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8C82CD">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YP6</w:t>
            </w:r>
          </w:p>
          <w:p w14:paraId="653560C4">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Y2202M8-1</w:t>
            </w:r>
          </w:p>
        </w:tc>
      </w:tr>
      <w:tr w14:paraId="681FB30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9DDB9B">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性状</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74C0E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灰白色粉末，无特殊气味</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C98C5C">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灰白色粉末，无特殊气味</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5B4A82">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灰白色粉末，无特殊气味</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3C3ACB">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灰白色粉末，无特殊气味</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F51C7D">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灰白色粉末，无特殊气味</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EDF23E">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灰白色粉末，无特殊气味</w:t>
            </w:r>
          </w:p>
        </w:tc>
      </w:tr>
      <w:tr w14:paraId="68115A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D34BCD">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纯度（%）（委托广州质检院）</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8A0962">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74.35</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671BC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73.67</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55B7ED">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73.52</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B1E0DF">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45.47</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8A0D07">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44.57</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61D01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46.06</w:t>
            </w:r>
          </w:p>
        </w:tc>
      </w:tr>
      <w:tr w14:paraId="3119CA0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73472A">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105℃挥发物（%）</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2F589F">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2.50</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1BB9D2">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2.59</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138F54">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2.87</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619221">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0.59</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3D6B25">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0.63</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99E09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0.70</w:t>
            </w:r>
          </w:p>
        </w:tc>
      </w:tr>
      <w:tr w14:paraId="22D2E6A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39D45E">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白度（%）</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630C97">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60.10</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F14082">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61.40</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D028A7">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61.10</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8861C9">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80.60</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57D1DB">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81.50</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50EC75">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78.20</w:t>
            </w:r>
          </w:p>
        </w:tc>
      </w:tr>
      <w:tr w14:paraId="32CD6C6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9BC89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pH（10%水溶液）</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8A2F06">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4.67</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31E68D">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4.68</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7C568D">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4.70</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2C5F25">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9.81</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A4C5FD">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9.89</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C7CD2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9.29</w:t>
            </w:r>
          </w:p>
        </w:tc>
      </w:tr>
      <w:tr w14:paraId="7E85DF2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6A3DB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平均粒径D50（μm）</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8990F1">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4.52</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36AD45">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4.46</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2C68A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4.65</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FF19AA">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2.64</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09A245">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3.05</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537006">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3.20</w:t>
            </w:r>
          </w:p>
        </w:tc>
      </w:tr>
      <w:tr w14:paraId="3723BA2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2E6E3C">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吸油量（g）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8238B8">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26.81</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E47614">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26.35</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28F6F2">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26.48</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011DEC">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25.00</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569A47">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25.20</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239D20">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25.00</w:t>
            </w:r>
          </w:p>
        </w:tc>
      </w:tr>
      <w:tr w14:paraId="035983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61F9DF">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铅（mg/kg）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59B763">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23.40</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A1D77D">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23.60</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6EE8CB">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23.20</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2B0449">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5.80</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D28FA1">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5.80</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31637A">
            <w:pPr>
              <w:spacing w:before="120" w:after="120" w:line="360" w:lineRule="auto"/>
              <w:ind w:left="0"/>
              <w:jc w:val="center"/>
              <w:rPr>
                <w:rFonts w:hint="eastAsia" w:ascii="仿宋" w:hAnsi="仿宋" w:eastAsia="仿宋" w:cs="仿宋"/>
                <w:sz w:val="18"/>
                <w:szCs w:val="18"/>
              </w:rPr>
            </w:pPr>
            <w:r>
              <w:rPr>
                <w:rFonts w:hint="eastAsia" w:ascii="仿宋" w:hAnsi="仿宋" w:eastAsia="仿宋" w:cs="仿宋"/>
                <w:sz w:val="18"/>
                <w:szCs w:val="18"/>
              </w:rPr>
              <w:t>5.80</w:t>
            </w:r>
          </w:p>
        </w:tc>
      </w:tr>
      <w:tr w14:paraId="346333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11B42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rPr>
            </w:pPr>
            <w:r>
              <w:rPr>
                <w:rFonts w:hint="eastAsia" w:ascii="仿宋" w:hAnsi="仿宋" w:eastAsia="仿宋" w:cs="仿宋"/>
                <w:kern w:val="0"/>
                <w:sz w:val="18"/>
                <w:szCs w:val="18"/>
                <w:lang w:val="en-US" w:eastAsia="zh-CN" w:bidi="ar"/>
              </w:rPr>
              <w:t>汞（mg/kg）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1F9E3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0.09</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2D0A4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0.08</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8ED78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0.05</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0F5BB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1.00</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283D15">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1.00</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527CA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1.00</w:t>
            </w:r>
          </w:p>
        </w:tc>
      </w:tr>
      <w:tr w14:paraId="00B490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46653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rPr>
            </w:pPr>
            <w:r>
              <w:rPr>
                <w:rFonts w:hint="eastAsia" w:ascii="仿宋" w:hAnsi="仿宋" w:eastAsia="仿宋" w:cs="仿宋"/>
                <w:kern w:val="0"/>
                <w:sz w:val="18"/>
                <w:szCs w:val="18"/>
                <w:lang w:val="en-US" w:eastAsia="zh-CN" w:bidi="ar"/>
              </w:rPr>
              <w:t>砷（mg/kg）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74118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2.54</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50659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2.48</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4B7C09">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2.47</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602C4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438BE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A3746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r>
      <w:tr w14:paraId="04C4148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F6EDD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rPr>
            </w:pPr>
            <w:r>
              <w:rPr>
                <w:rFonts w:hint="eastAsia" w:ascii="仿宋" w:hAnsi="仿宋" w:eastAsia="仿宋" w:cs="仿宋"/>
                <w:kern w:val="0"/>
                <w:sz w:val="18"/>
                <w:szCs w:val="18"/>
                <w:lang w:val="en-US" w:eastAsia="zh-CN" w:bidi="ar"/>
              </w:rPr>
              <w:t>镉（mg/kg）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6DFDC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0.06</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F01C7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0.06</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4C1C04">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0.07</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517C7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08A56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7A450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r>
      <w:tr w14:paraId="18F41E5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251C0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rPr>
            </w:pPr>
            <w:r>
              <w:rPr>
                <w:rFonts w:hint="eastAsia" w:ascii="仿宋" w:hAnsi="仿宋" w:eastAsia="仿宋" w:cs="仿宋"/>
                <w:kern w:val="0"/>
                <w:sz w:val="18"/>
                <w:szCs w:val="18"/>
                <w:lang w:val="en-US" w:eastAsia="zh-CN" w:bidi="ar"/>
              </w:rPr>
              <w:t>菌落总数(CFU/g)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3A0AD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A72ED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37309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AA689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A9098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1AC09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r>
      <w:tr w14:paraId="1418113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CEE9B5A">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rPr>
            </w:pPr>
            <w:r>
              <w:rPr>
                <w:rFonts w:hint="eastAsia" w:ascii="仿宋" w:hAnsi="仿宋" w:eastAsia="仿宋" w:cs="仿宋"/>
                <w:kern w:val="0"/>
                <w:sz w:val="18"/>
                <w:szCs w:val="18"/>
                <w:lang w:val="en-US" w:eastAsia="zh-CN" w:bidi="ar"/>
              </w:rPr>
              <w:t>霉菌与酵母菌(CFU/g)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D6468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F5F085">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8C8B3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＜10</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731D67">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C39CC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C1FB8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r>
      <w:tr w14:paraId="0AA4F5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04BE06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rPr>
            </w:pPr>
            <w:r>
              <w:rPr>
                <w:rFonts w:hint="eastAsia" w:ascii="仿宋" w:hAnsi="仿宋" w:eastAsia="仿宋" w:cs="仿宋"/>
                <w:kern w:val="0"/>
                <w:sz w:val="18"/>
                <w:szCs w:val="18"/>
                <w:lang w:val="en-US" w:eastAsia="zh-CN" w:bidi="ar"/>
              </w:rPr>
              <w:t>耐热大肠菌群/g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842B81">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3C936B">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50A56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98F05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213855">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0A61F0">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r>
      <w:tr w14:paraId="2E5CC29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74DBF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rPr>
            </w:pPr>
            <w:r>
              <w:rPr>
                <w:rFonts w:hint="eastAsia" w:ascii="仿宋" w:hAnsi="仿宋" w:eastAsia="仿宋" w:cs="仿宋"/>
                <w:kern w:val="0"/>
                <w:sz w:val="18"/>
                <w:szCs w:val="18"/>
                <w:lang w:val="en-US" w:eastAsia="zh-CN" w:bidi="ar"/>
              </w:rPr>
              <w:t>金黄色葡萄球菌/g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E5F66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CD520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9F0FA4">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C79255">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15FD4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3ED22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r>
      <w:tr w14:paraId="60D63D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14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131CB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rPr>
            </w:pPr>
            <w:r>
              <w:rPr>
                <w:rFonts w:hint="eastAsia" w:ascii="仿宋" w:hAnsi="仿宋" w:eastAsia="仿宋" w:cs="仿宋"/>
                <w:kern w:val="0"/>
                <w:sz w:val="18"/>
                <w:szCs w:val="18"/>
                <w:lang w:val="en-US" w:eastAsia="zh-CN" w:bidi="ar"/>
              </w:rPr>
              <w:t>铜绿假单胞菌/g</w:t>
            </w:r>
          </w:p>
        </w:tc>
        <w:tc>
          <w:tcPr>
            <w:tcW w:w="141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7604F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4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8EEA3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44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D47F2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未检出</w:t>
            </w:r>
          </w:p>
        </w:tc>
        <w:tc>
          <w:tcPr>
            <w:tcW w:w="13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874F8E">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28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A0FFA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c>
          <w:tcPr>
            <w:tcW w:w="136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377AF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center"/>
              <w:rPr>
                <w:rFonts w:hint="eastAsia" w:ascii="仿宋" w:hAnsi="仿宋" w:eastAsia="仿宋" w:cs="仿宋"/>
                <w:sz w:val="18"/>
                <w:szCs w:val="18"/>
              </w:rPr>
            </w:pPr>
            <w:r>
              <w:rPr>
                <w:rFonts w:hint="eastAsia" w:ascii="仿宋" w:hAnsi="仿宋" w:eastAsia="仿宋" w:cs="仿宋"/>
                <w:kern w:val="0"/>
                <w:sz w:val="18"/>
                <w:szCs w:val="18"/>
                <w:lang w:val="en-US" w:eastAsia="zh-CN" w:bidi="ar"/>
              </w:rPr>
              <w:t>/</w:t>
            </w:r>
          </w:p>
        </w:tc>
      </w:tr>
    </w:tbl>
    <w:p w14:paraId="3EF796B6">
      <w:pPr>
        <w:spacing w:before="120" w:after="120" w:line="288" w:lineRule="auto"/>
        <w:ind w:left="0" w:firstLine="420"/>
        <w:jc w:val="left"/>
        <w:rPr>
          <w:rFonts w:hint="eastAsia" w:ascii="宋体" w:hAnsi="宋体" w:eastAsia="宋体" w:cs="宋体"/>
          <w:sz w:val="22"/>
        </w:rPr>
      </w:pPr>
    </w:p>
    <w:p w14:paraId="427C91AD">
      <w:pPr>
        <w:spacing w:before="120" w:after="120" w:line="288" w:lineRule="auto"/>
        <w:ind w:left="0" w:firstLine="420"/>
        <w:jc w:val="left"/>
        <w:rPr>
          <w:rFonts w:hint="eastAsia" w:ascii="宋体" w:hAnsi="宋体" w:eastAsia="宋体" w:cs="宋体"/>
        </w:rPr>
      </w:pPr>
      <w:r>
        <w:rPr>
          <w:rFonts w:hint="eastAsia" w:ascii="仿宋" w:hAnsi="仿宋" w:eastAsia="仿宋" w:cs="仿宋"/>
          <w:color w:val="auto"/>
          <w:kern w:val="2"/>
          <w:sz w:val="21"/>
          <w:szCs w:val="21"/>
          <w:highlight w:val="none"/>
          <w:lang w:val="en-US" w:eastAsia="zh-CN" w:bidi="ar-SA"/>
        </w:rPr>
        <w:t>另外，由广州质量监督检测研究院、佛山市陶瓷研究所检测有限公司参加了验证试验工作，选取水羊公司样品SY20230605对本方法进行了重现性验证，验证结果的统计情况见表2：</w:t>
      </w:r>
      <w:r>
        <w:rPr>
          <w:rFonts w:hint="eastAsia" w:ascii="宋体" w:hAnsi="宋体" w:eastAsia="宋体" w:cs="宋体"/>
          <w:sz w:val="22"/>
        </w:rPr>
        <w:t xml:space="preserve"> </w:t>
      </w:r>
    </w:p>
    <w:p w14:paraId="1EC2BA70">
      <w:pPr>
        <w:spacing w:before="120" w:after="120" w:line="288" w:lineRule="auto"/>
        <w:ind w:left="0" w:firstLine="0"/>
        <w:jc w:val="center"/>
        <w:outlineLvl w:val="9"/>
        <w:rPr>
          <w:rFonts w:hint="eastAsia" w:ascii="宋体" w:hAnsi="宋体" w:eastAsia="宋体" w:cs="宋体"/>
          <w:b/>
          <w:sz w:val="22"/>
        </w:rPr>
      </w:pPr>
      <w:r>
        <w:rPr>
          <w:rFonts w:hint="eastAsia" w:ascii="宋体" w:hAnsi="宋体" w:eastAsia="宋体" w:cs="宋体"/>
          <w:b/>
          <w:sz w:val="22"/>
        </w:rPr>
        <w:t>表2 实验室间的重现性验证结果汇总</w:t>
      </w:r>
    </w:p>
    <w:tbl>
      <w:tblPr>
        <w:tblStyle w:val="4"/>
        <w:tblW w:w="0" w:type="auto"/>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697"/>
        <w:gridCol w:w="3252"/>
        <w:gridCol w:w="2992"/>
      </w:tblGrid>
      <w:tr w14:paraId="45674B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330" w:hRule="atLeast"/>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75D84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实验室项目指标</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B703F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广州质量监督检测研究院</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20AE2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水羊化妆品制造有限公司</w:t>
            </w:r>
          </w:p>
        </w:tc>
      </w:tr>
      <w:tr w14:paraId="7639F2D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F2B604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批次</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BBEE2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SY20230605</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219BE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SY20230605</w:t>
            </w:r>
          </w:p>
        </w:tc>
      </w:tr>
      <w:tr w14:paraId="7E57B9C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3C071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性状</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C3713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灰白色粉末，无特殊气味</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C3C9F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灰白色粉末，无特殊气味</w:t>
            </w:r>
          </w:p>
        </w:tc>
      </w:tr>
      <w:tr w14:paraId="6C8EC98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D2831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105℃挥发物（%）</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B81C7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2.40</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31C01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2.50</w:t>
            </w:r>
          </w:p>
        </w:tc>
      </w:tr>
      <w:tr w14:paraId="3E7ADBB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DCCC4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白度（%）</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18F9A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59.90</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4DF08C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60.10</w:t>
            </w:r>
          </w:p>
        </w:tc>
      </w:tr>
      <w:tr w14:paraId="0FEC1AC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9568A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pH（10%水溶液）</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4AAFF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5.20</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8181B2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4.67</w:t>
            </w:r>
          </w:p>
        </w:tc>
      </w:tr>
      <w:tr w14:paraId="6DC6988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03FC56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平均粒径D50（μm）</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865CB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4.55</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4F01BC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4.52</w:t>
            </w:r>
          </w:p>
        </w:tc>
      </w:tr>
      <w:tr w14:paraId="78AF02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BB1DF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吸油量（g）</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802217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30.42（委托佛山市陶瓷研究所检测有限公司检测）</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005DE0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26.81</w:t>
            </w:r>
          </w:p>
        </w:tc>
      </w:tr>
      <w:tr w14:paraId="5EF4EB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45648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铅（mg/kg）</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7E606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22</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33D50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23.40</w:t>
            </w:r>
          </w:p>
        </w:tc>
      </w:tr>
      <w:tr w14:paraId="01D85C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02E84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汞（mg/kg）</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7016E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＜0.10</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27B1B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0.09</w:t>
            </w:r>
          </w:p>
        </w:tc>
      </w:tr>
      <w:tr w14:paraId="254F998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04E0C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砷（mg/kg）</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32C885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2.50</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0902E5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2.54</w:t>
            </w:r>
          </w:p>
        </w:tc>
      </w:tr>
      <w:tr w14:paraId="776D28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269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4107F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镉（mg/kg）</w:t>
            </w:r>
          </w:p>
        </w:tc>
        <w:tc>
          <w:tcPr>
            <w:tcW w:w="325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8D192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＜0.59</w:t>
            </w:r>
          </w:p>
        </w:tc>
        <w:tc>
          <w:tcPr>
            <w:tcW w:w="2992"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D878E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0.06</w:t>
            </w:r>
          </w:p>
        </w:tc>
      </w:tr>
    </w:tbl>
    <w:p w14:paraId="084A661A">
      <w:pPr>
        <w:spacing w:before="120" w:after="120" w:line="288" w:lineRule="auto"/>
        <w:ind w:left="0" w:firstLine="420"/>
        <w:jc w:val="left"/>
        <w:rPr>
          <w:rFonts w:hint="eastAsia" w:ascii="宋体" w:hAnsi="宋体" w:eastAsia="宋体" w:cs="宋体"/>
        </w:rPr>
      </w:pPr>
      <w:r>
        <w:rPr>
          <w:rFonts w:hint="eastAsia" w:ascii="宋体" w:hAnsi="宋体" w:eastAsia="宋体" w:cs="宋体"/>
          <w:b/>
          <w:sz w:val="22"/>
        </w:rPr>
        <w:t>关于水羊及安徽格锐两家伊利水云母纯度、白度等测试项目存在较大差异的说明：</w:t>
      </w:r>
    </w:p>
    <w:p w14:paraId="646AAA39">
      <w:pPr>
        <w:spacing w:before="120" w:after="120" w:line="288" w:lineRule="auto"/>
        <w:ind w:left="0" w:firstLine="42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从数据结果可以看出，水羊及安徽格锐两家伊利水云母在一些测试项目上存在一定的差异，包括伊利石纯度、白度、pH、重金属含量（铅），平均粒径D50。主要原因如下：</w:t>
      </w:r>
    </w:p>
    <w:p w14:paraId="75E12640">
      <w:pPr>
        <w:spacing w:before="120" w:after="120" w:line="288" w:lineRule="auto"/>
        <w:ind w:left="0" w:firstLine="42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原矿石产地不同：水羊伊利水云母原矿石取自于湖南隆回县雪峰山地域内，安徽格锐伊利水云母原矿石取自于河北邢台、辽宁营口等地，不同产地的伊利水云母矿床存在较大差异，湖南雪峰山的伊利水云母原矿石的伊利石纯度较高，且矿床伴有较多的重金属元素，进而吸附到伊利水云母中，从而使得水羊伊利水云母的伊利石纯度较高、重金属含量偏高；而河北邢台、辽宁营口等地的伊利水云母原矿石的伊利石纯度较低，且本身重金属含量较低，固而安徽格锐的伊利水云母的伊利石纯度低，重金属含量也低。此外，湖南雪峰山地处湿热多雨的南方，伊利水云母的风化程度高，晶体中的铝、硅等元素被铁、镁等元素替代的比例较大，使得伊利水云母的颜色偏暗，导致其白度较低。</w:t>
      </w:r>
      <w:r>
        <w:rPr>
          <w:rFonts w:hint="eastAsia" w:ascii="仿宋" w:hAnsi="仿宋" w:eastAsia="仿宋" w:cs="仿宋"/>
          <w:color w:val="auto"/>
          <w:kern w:val="2"/>
          <w:szCs w:val="21"/>
          <w:highlight w:val="none"/>
          <w:lang w:val="en-US" w:eastAsia="zh-CN" w:bidi="ar-SA"/>
        </w:rPr>
        <w:t>同时，风化程度高的伊利石具有更多的负电荷和边缘羟基数量，因而吸附水分子的能力更强，故而水羊伊利水云母的含水量稍高，即105°挥发物偏大。</w:t>
      </w:r>
    </w:p>
    <w:p w14:paraId="210CCCDA">
      <w:pPr>
        <w:spacing w:before="120" w:after="120" w:line="288" w:lineRule="auto"/>
        <w:ind w:left="0" w:firstLine="42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加工工艺不同：水羊伊利水云母原矿石重金属含量较高，故采用酸洗络合法来进一步降低其重金属含量，故而加工得到的伊利水云母偏酸性；而格锐伊利水云母原矿石重金属含量较少，并没有采用酸洗工艺并添加少量碱液用于除杂，故而其伊利水云母呈碱性。</w:t>
      </w:r>
    </w:p>
    <w:p w14:paraId="694F24F9">
      <w:pPr>
        <w:spacing w:before="120" w:after="120" w:line="288" w:lineRule="auto"/>
        <w:ind w:left="0" w:firstLine="42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平均粒径D50与破碎时间以及原产矿石、纯度均有一定的关系，如破碎时间长，粒径细小；矿石硬度低容易破碎；伊利水云母韧性大较难破碎彻底等，故而两家伊利水云母粉体在平均粒径D50上存在一定的差异。综上，水羊及安徽格锐两家伊利水云母因产地、加工工艺不同，在伊利石纯度、白度、pH、重金属（铅）含量、平均粒径D50上存在一定差异，但对伊利水云母的控油功效及其在化妆品中的应用并没有引起不良的影响，故而是可以接受的。特</w:t>
      </w:r>
      <w:bookmarkStart w:id="1" w:name="_GoBack"/>
      <w:bookmarkEnd w:id="1"/>
      <w:r>
        <w:rPr>
          <w:rFonts w:hint="eastAsia" w:ascii="仿宋" w:hAnsi="仿宋" w:eastAsia="仿宋" w:cs="仿宋"/>
          <w:color w:val="auto"/>
          <w:kern w:val="2"/>
          <w:sz w:val="21"/>
          <w:szCs w:val="21"/>
          <w:highlight w:val="none"/>
          <w:lang w:val="en-US" w:eastAsia="zh-CN" w:bidi="ar-SA"/>
        </w:rPr>
        <w:t>此说明</w:t>
      </w:r>
      <w:r>
        <w:rPr>
          <w:rFonts w:hint="eastAsia" w:ascii="仿宋" w:hAnsi="仿宋" w:eastAsia="仿宋" w:cs="仿宋"/>
          <w:color w:val="auto"/>
          <w:kern w:val="2"/>
          <w:sz w:val="21"/>
          <w:szCs w:val="21"/>
          <w:highlight w:val="none"/>
          <w:lang w:val="en-US" w:eastAsia="zh-CN" w:bidi="ar-SA"/>
        </w:rPr>
        <w:t>。</w:t>
      </w:r>
    </w:p>
    <w:p w14:paraId="47C3C08C">
      <w:pPr>
        <w:spacing w:before="120" w:after="120" w:line="288" w:lineRule="auto"/>
        <w:ind w:left="0" w:firstLine="42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Cs w:val="21"/>
          <w:highlight w:val="none"/>
          <w:lang w:val="en-US" w:eastAsia="zh-CN" w:bidi="ar-SA"/>
        </w:rPr>
        <w:t>另，关于伊利水云母纯度与其控油效果的关系，我们做了纯度与吸油量的实验研究，结果如下所示：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1247"/>
        <w:gridCol w:w="1247"/>
        <w:gridCol w:w="1247"/>
        <w:gridCol w:w="1247"/>
      </w:tblGrid>
      <w:tr w14:paraId="1F2D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vAlign w:val="center"/>
          </w:tcPr>
          <w:p w14:paraId="41E92678">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伊利水云母纯度（%）</w:t>
            </w:r>
          </w:p>
        </w:tc>
        <w:tc>
          <w:tcPr>
            <w:tcW w:w="1247" w:type="dxa"/>
            <w:vAlign w:val="center"/>
          </w:tcPr>
          <w:p w14:paraId="2DE57E65">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40.37</w:t>
            </w:r>
          </w:p>
        </w:tc>
        <w:tc>
          <w:tcPr>
            <w:tcW w:w="1247" w:type="dxa"/>
            <w:vAlign w:val="center"/>
          </w:tcPr>
          <w:p w14:paraId="63466B3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68.72</w:t>
            </w:r>
          </w:p>
        </w:tc>
        <w:tc>
          <w:tcPr>
            <w:tcW w:w="1247" w:type="dxa"/>
            <w:vAlign w:val="center"/>
          </w:tcPr>
          <w:p w14:paraId="6D7B1E3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73.85</w:t>
            </w:r>
          </w:p>
        </w:tc>
        <w:tc>
          <w:tcPr>
            <w:tcW w:w="1247" w:type="dxa"/>
            <w:vAlign w:val="center"/>
          </w:tcPr>
          <w:p w14:paraId="2B4CB1DF">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92.77</w:t>
            </w:r>
          </w:p>
        </w:tc>
      </w:tr>
      <w:tr w14:paraId="4CED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vAlign w:val="center"/>
          </w:tcPr>
          <w:p w14:paraId="1C6FBFD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吸油量（g/100g）</w:t>
            </w:r>
          </w:p>
        </w:tc>
        <w:tc>
          <w:tcPr>
            <w:tcW w:w="1247" w:type="dxa"/>
            <w:vAlign w:val="center"/>
          </w:tcPr>
          <w:p w14:paraId="23CF31B6">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25.07</w:t>
            </w:r>
          </w:p>
        </w:tc>
        <w:tc>
          <w:tcPr>
            <w:tcW w:w="1247" w:type="dxa"/>
            <w:vAlign w:val="center"/>
          </w:tcPr>
          <w:p w14:paraId="6D658715">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25.82</w:t>
            </w:r>
          </w:p>
        </w:tc>
        <w:tc>
          <w:tcPr>
            <w:tcW w:w="1247" w:type="dxa"/>
            <w:vAlign w:val="center"/>
          </w:tcPr>
          <w:p w14:paraId="3727C903">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26.55</w:t>
            </w:r>
          </w:p>
        </w:tc>
        <w:tc>
          <w:tcPr>
            <w:tcW w:w="1247" w:type="dxa"/>
            <w:vAlign w:val="center"/>
          </w:tcPr>
          <w:p w14:paraId="41A3711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textAlignment w:val="top"/>
              <w:rPr>
                <w:rFonts w:hint="eastAsia" w:ascii="仿宋" w:hAnsi="仿宋" w:eastAsia="仿宋" w:cs="仿宋"/>
                <w:sz w:val="18"/>
                <w:szCs w:val="18"/>
                <w:vertAlign w:val="baseline"/>
              </w:rPr>
            </w:pPr>
            <w:r>
              <w:rPr>
                <w:rFonts w:hint="eastAsia" w:ascii="仿宋" w:hAnsi="仿宋" w:eastAsia="仿宋" w:cs="仿宋"/>
                <w:kern w:val="0"/>
                <w:sz w:val="18"/>
                <w:szCs w:val="18"/>
                <w:lang w:val="en-US" w:eastAsia="zh-CN" w:bidi="ar"/>
              </w:rPr>
              <w:t>27.02</w:t>
            </w:r>
          </w:p>
        </w:tc>
      </w:tr>
    </w:tbl>
    <w:p w14:paraId="2A7121B0">
      <w:pPr>
        <w:spacing w:before="120" w:after="120" w:line="288" w:lineRule="auto"/>
        <w:ind w:left="0" w:firstLine="42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Cs w:val="21"/>
          <w:highlight w:val="none"/>
          <w:lang w:val="en-US" w:eastAsia="zh-CN" w:bidi="ar-SA"/>
        </w:rPr>
        <w:t>可以看到，伊利水云母的吸油量与其纯度存在一定的正相关关系，但吸油量随纯度变化而提升的幅度较小，在纯度从40.37%提升至92.77%时，其吸油量仅涨幅7.78%。说明伊利水云母的纯度在40.37~92.77%范围时，其吸油量比较相近，即控油效果相差不大。这是由于吸油量主要与伊利水云母的粒径大小、颗粒间隙等有关，而不同纯度的伊利水云母所暴露出来的有效吸附位点数量比较接近，故而表现出比较接近的吸油量。</w:t>
      </w:r>
    </w:p>
    <w:p w14:paraId="67EA53C1">
      <w:pPr>
        <w:spacing w:before="120" w:after="120" w:line="288" w:lineRule="auto"/>
        <w:ind w:left="0" w:firstLine="420"/>
        <w:jc w:val="left"/>
        <w:rPr>
          <w:rFonts w:hint="eastAsia" w:ascii="仿宋" w:hAnsi="仿宋" w:eastAsia="仿宋" w:cs="仿宋"/>
          <w:color w:val="auto"/>
          <w:kern w:val="2"/>
          <w:szCs w:val="21"/>
          <w:highlight w:val="none"/>
          <w:lang w:val="en-US" w:eastAsia="zh-CN" w:bidi="ar-SA"/>
        </w:rPr>
      </w:pPr>
      <w:r>
        <w:rPr>
          <w:rFonts w:hint="eastAsia" w:ascii="仿宋" w:hAnsi="仿宋" w:eastAsia="仿宋" w:cs="仿宋"/>
          <w:color w:val="auto"/>
          <w:kern w:val="2"/>
          <w:szCs w:val="21"/>
          <w:highlight w:val="none"/>
          <w:lang w:val="en-US" w:eastAsia="zh-CN" w:bidi="ar-SA"/>
        </w:rPr>
        <w:t>综合以上，从起草工作组的检测数据和第三方验证单位的验证数据来看，本标准草案所规定的感官指标和理化指标是合适的。</w:t>
      </w:r>
    </w:p>
    <w:p w14:paraId="1329236E">
      <w:pPr>
        <w:spacing w:before="120" w:after="120" w:line="288" w:lineRule="auto"/>
        <w:ind w:left="0" w:firstLine="0"/>
        <w:jc w:val="left"/>
        <w:rPr>
          <w:rFonts w:hint="eastAsia" w:ascii="宋体" w:hAnsi="宋体" w:eastAsia="宋体" w:cs="宋体"/>
        </w:rPr>
      </w:pPr>
      <w:r>
        <w:rPr>
          <w:rFonts w:hint="eastAsia" w:ascii="宋体" w:hAnsi="宋体" w:eastAsia="宋体" w:cs="宋体"/>
          <w:b/>
          <w:sz w:val="22"/>
        </w:rPr>
        <w:t>六、征求意见的采纳情况（附《征求意见汇总处理表》、重大意见分歧的处理结果和依据）</w:t>
      </w:r>
    </w:p>
    <w:p w14:paraId="4C416E93">
      <w:pPr>
        <w:spacing w:before="120" w:after="120" w:line="288" w:lineRule="auto"/>
        <w:ind w:left="0" w:firstLine="420"/>
        <w:jc w:val="left"/>
        <w:rPr>
          <w:rFonts w:hint="eastAsia" w:ascii="宋体" w:hAnsi="宋体" w:eastAsia="宋体" w:cs="宋体"/>
        </w:rPr>
      </w:pPr>
      <w:r>
        <w:rPr>
          <w:rFonts w:hint="eastAsia" w:ascii="宋体" w:hAnsi="宋体" w:eastAsia="宋体" w:cs="宋体"/>
          <w:sz w:val="22"/>
        </w:rPr>
        <w:t>无</w:t>
      </w:r>
    </w:p>
    <w:p w14:paraId="4E166B0B">
      <w:pPr>
        <w:spacing w:before="120" w:after="120" w:line="288" w:lineRule="auto"/>
        <w:ind w:left="0" w:firstLine="0"/>
        <w:jc w:val="left"/>
        <w:rPr>
          <w:rFonts w:hint="eastAsia" w:ascii="宋体" w:hAnsi="宋体" w:eastAsia="宋体" w:cs="宋体"/>
        </w:rPr>
      </w:pPr>
      <w:r>
        <w:rPr>
          <w:rFonts w:hint="eastAsia" w:ascii="宋体" w:hAnsi="宋体" w:eastAsia="宋体" w:cs="宋体"/>
          <w:b/>
          <w:sz w:val="22"/>
        </w:rPr>
        <w:t>七、标准实施日期和实施建议</w:t>
      </w:r>
    </w:p>
    <w:p w14:paraId="2F2D5C14">
      <w:pPr>
        <w:spacing w:before="120" w:after="120" w:line="288" w:lineRule="auto"/>
        <w:ind w:left="0" w:firstLine="420"/>
        <w:jc w:val="left"/>
        <w:rPr>
          <w:rFonts w:hint="eastAsia" w:ascii="宋体" w:hAnsi="宋体" w:eastAsia="宋体" w:cs="宋体"/>
        </w:rPr>
      </w:pPr>
      <w:r>
        <w:rPr>
          <w:rFonts w:hint="eastAsia" w:ascii="宋体" w:hAnsi="宋体" w:eastAsia="宋体" w:cs="宋体"/>
          <w:sz w:val="22"/>
        </w:rPr>
        <w:t>无</w:t>
      </w:r>
    </w:p>
    <w:p w14:paraId="05B847A8">
      <w:pPr>
        <w:spacing w:before="120" w:after="120" w:line="288" w:lineRule="auto"/>
        <w:ind w:left="0" w:firstLine="0"/>
        <w:jc w:val="left"/>
        <w:rPr>
          <w:rFonts w:hint="eastAsia" w:ascii="宋体" w:hAnsi="宋体" w:eastAsia="宋体" w:cs="宋体"/>
        </w:rPr>
      </w:pPr>
      <w:r>
        <w:rPr>
          <w:rFonts w:hint="eastAsia" w:ascii="宋体" w:hAnsi="宋体" w:eastAsia="宋体" w:cs="宋体"/>
          <w:b/>
          <w:sz w:val="22"/>
        </w:rPr>
        <w:t>八、其他需要说明的事项（含涉及专利情况说明）</w:t>
      </w:r>
    </w:p>
    <w:p w14:paraId="498FD231">
      <w:pPr>
        <w:spacing w:before="120" w:after="120" w:line="288" w:lineRule="auto"/>
        <w:ind w:left="0" w:firstLine="420"/>
        <w:jc w:val="left"/>
        <w:rPr>
          <w:rFonts w:hint="eastAsia" w:ascii="宋体" w:hAnsi="宋体" w:eastAsia="宋体" w:cs="宋体"/>
        </w:rPr>
      </w:pPr>
      <w:r>
        <w:rPr>
          <w:rFonts w:hint="eastAsia" w:ascii="宋体" w:hAnsi="宋体" w:eastAsia="宋体" w:cs="宋体"/>
          <w:sz w:val="22"/>
        </w:rPr>
        <w:t>专利说明：无</w:t>
      </w:r>
    </w:p>
    <w:p w14:paraId="1DFD43E2">
      <w:pPr>
        <w:spacing w:before="120" w:after="120" w:line="288" w:lineRule="auto"/>
        <w:ind w:left="0"/>
        <w:jc w:val="left"/>
        <w:rPr>
          <w:rFonts w:hint="eastAsia" w:ascii="宋体" w:hAnsi="宋体" w:eastAsia="宋体" w:cs="宋体"/>
        </w:rPr>
      </w:pPr>
    </w:p>
    <w:p w14:paraId="5AD8B54F">
      <w:pPr>
        <w:spacing w:before="120" w:after="120" w:line="288" w:lineRule="auto"/>
        <w:ind w:left="0"/>
        <w:jc w:val="left"/>
        <w:rPr>
          <w:rFonts w:hint="eastAsia" w:ascii="宋体" w:hAnsi="宋体" w:eastAsia="宋体" w:cs="宋体"/>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F7DB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E2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33EB9"/>
    <w:rsid w:val="214B0A2F"/>
    <w:rsid w:val="321F2DC7"/>
    <w:rsid w:val="3E3F4D6C"/>
    <w:rsid w:val="40BC184D"/>
    <w:rsid w:val="40E47132"/>
    <w:rsid w:val="52994A9A"/>
    <w:rsid w:val="678F22EE"/>
    <w:rsid w:val="71306613"/>
    <w:rsid w:val="7567634E"/>
    <w:rsid w:val="7CA076C1"/>
    <w:rsid w:val="7CAC12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2956</Words>
  <Characters>3614</Characters>
  <TotalTime>0</TotalTime>
  <ScaleCrop>false</ScaleCrop>
  <LinksUpToDate>false</LinksUpToDate>
  <CharactersWithSpaces>3678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2024-11-22T09:48:00Z</dcterms:created>
  <dc:creator>Apache POI</dc:creator>
  <cp:lastModifiedBy>张鹏</cp:lastModifiedBy>
  <dcterms:modified xsi:type="dcterms:W3CDTF">2025-02-05T10:43:12Z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0094B7374DEE4E54B133E947BDD0C57C_13</vt:lpwstr>
  </property>
  <property fmtid="{D5CDD505-2E9C-101B-9397-08002B2CF9AE}" pid="4" name="KSOTemplateDocerSaveRecord">
    <vt:lpwstr>eyJoZGlkIjoiMTk3ZWNkMDQ4YTc3MWUyNjlhOGM5NGJhMTViZGQwYWYiLCJ1c2VySWQiOiIyNTQ1NzYyMzUifQ==</vt:lpwstr>
  </property>
</Properties>
</file>