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DA4C32">
      <w:pPr>
        <w:spacing w:line="360" w:lineRule="auto"/>
        <w:jc w:val="center"/>
        <w:rPr>
          <w:rFonts w:hint="eastAsia" w:ascii="Times New Roman" w:hAnsi="Times New Roman" w:cs="Times New Roman"/>
          <w:b/>
          <w:bCs/>
          <w:spacing w:val="20"/>
          <w:sz w:val="36"/>
          <w:szCs w:val="36"/>
          <w:highlight w:val="none"/>
        </w:rPr>
      </w:pPr>
      <w:r>
        <w:rPr>
          <w:rFonts w:hint="eastAsia" w:ascii="Times New Roman" w:hAnsi="Times New Roman" w:cs="Times New Roman"/>
          <w:b/>
          <w:bCs/>
          <w:spacing w:val="20"/>
          <w:sz w:val="36"/>
          <w:szCs w:val="36"/>
          <w:highlight w:val="none"/>
        </w:rPr>
        <w:t>《化妆品经皮吸收 Franz扩散池法技术指南》</w:t>
      </w:r>
    </w:p>
    <w:p w14:paraId="2CA1ACE4">
      <w:pPr>
        <w:spacing w:line="360" w:lineRule="auto"/>
        <w:jc w:val="center"/>
        <w:rPr>
          <w:rFonts w:ascii="Times New Roman" w:hAnsi="Times New Roman" w:cs="Times New Roman"/>
          <w:b/>
          <w:bCs/>
          <w:spacing w:val="20"/>
          <w:sz w:val="36"/>
          <w:szCs w:val="36"/>
          <w:highlight w:val="none"/>
        </w:rPr>
      </w:pPr>
      <w:r>
        <w:rPr>
          <w:rFonts w:hint="eastAsia" w:ascii="Times New Roman" w:hAnsi="Times New Roman" w:cs="Times New Roman"/>
          <w:b/>
          <w:bCs/>
          <w:spacing w:val="20"/>
          <w:sz w:val="36"/>
          <w:szCs w:val="36"/>
          <w:highlight w:val="none"/>
        </w:rPr>
        <w:t>编制说明</w:t>
      </w:r>
    </w:p>
    <w:p w14:paraId="51727B0C">
      <w:pPr>
        <w:pStyle w:val="2"/>
        <w:rPr>
          <w:highlight w:val="none"/>
        </w:rPr>
      </w:pPr>
      <w:r>
        <w:rPr>
          <w:rFonts w:hint="eastAsia"/>
          <w:highlight w:val="none"/>
        </w:rPr>
        <w:t>一、工作简况</w:t>
      </w:r>
    </w:p>
    <w:p w14:paraId="2FE75B7E">
      <w:pPr>
        <w:pStyle w:val="3"/>
        <w:rPr>
          <w:highlight w:val="none"/>
        </w:rPr>
      </w:pPr>
      <w:r>
        <w:rPr>
          <w:rFonts w:hint="eastAsia"/>
          <w:highlight w:val="none"/>
        </w:rPr>
        <w:t>1.1 任务来源</w:t>
      </w:r>
    </w:p>
    <w:p w14:paraId="59ADCC56">
      <w:pPr>
        <w:spacing w:line="360" w:lineRule="auto"/>
        <w:ind w:firstLine="480" w:firstLineChars="200"/>
        <w:rPr>
          <w:rFonts w:hint="eastAsia" w:ascii="宋体" w:hAnsi="宋体" w:eastAsia="宋体" w:cs="宋体"/>
          <w:sz w:val="24"/>
          <w:highlight w:val="none"/>
        </w:rPr>
      </w:pPr>
      <w:bookmarkStart w:id="0" w:name="_Hlk143942240"/>
      <w:r>
        <w:rPr>
          <w:rFonts w:hint="eastAsia" w:ascii="宋体" w:hAnsi="宋体" w:eastAsia="宋体" w:cs="宋体"/>
          <w:sz w:val="24"/>
          <w:highlight w:val="none"/>
        </w:rPr>
        <w:t>本标准根据中国香料香精化妆品工业协会《关于2023年协会团体标准（第一批）立项公示的通知》立项。主要起草单位：</w:t>
      </w:r>
      <w:bookmarkStart w:id="1" w:name="OLE_LINK1"/>
      <w:r>
        <w:rPr>
          <w:rFonts w:hint="eastAsia" w:ascii="宋体" w:hAnsi="宋体" w:eastAsia="宋体" w:cs="宋体"/>
          <w:sz w:val="24"/>
          <w:highlight w:val="none"/>
        </w:rPr>
        <w:t>深圳杉海创新技术有限公司</w:t>
      </w:r>
      <w:bookmarkEnd w:id="1"/>
      <w:r>
        <w:rPr>
          <w:rFonts w:hint="eastAsia" w:ascii="宋体" w:hAnsi="宋体" w:eastAsia="宋体" w:cs="宋体"/>
          <w:sz w:val="24"/>
          <w:highlight w:val="none"/>
        </w:rPr>
        <w:t>等。</w:t>
      </w:r>
    </w:p>
    <w:p w14:paraId="7B84D7BB">
      <w:pPr>
        <w:pStyle w:val="3"/>
        <w:rPr>
          <w:highlight w:val="none"/>
        </w:rPr>
      </w:pPr>
      <w:r>
        <w:rPr>
          <w:rFonts w:hint="eastAsia"/>
          <w:highlight w:val="none"/>
        </w:rPr>
        <w:t>1.2 主要工作过程</w:t>
      </w:r>
    </w:p>
    <w:p w14:paraId="32550EA1">
      <w:pPr>
        <w:ind w:firstLine="723" w:firstLineChars="300"/>
        <w:rPr>
          <w:rFonts w:hint="eastAsia" w:ascii="宋体" w:hAnsi="宋体" w:eastAsia="宋体" w:cs="宋体"/>
          <w:b/>
          <w:bCs/>
          <w:sz w:val="24"/>
          <w:highlight w:val="none"/>
        </w:rPr>
      </w:pPr>
      <w:r>
        <w:rPr>
          <w:rFonts w:hint="eastAsia" w:ascii="宋体" w:hAnsi="宋体" w:eastAsia="宋体" w:cs="宋体"/>
          <w:b/>
          <w:bCs/>
          <w:sz w:val="24"/>
          <w:highlight w:val="none"/>
        </w:rPr>
        <w:t>起草阶段：</w:t>
      </w:r>
    </w:p>
    <w:p w14:paraId="041F0D56">
      <w:pPr>
        <w:numPr>
          <w:ilvl w:val="0"/>
          <w:numId w:val="2"/>
        </w:numPr>
        <w:spacing w:line="360" w:lineRule="auto"/>
        <w:ind w:firstLine="720" w:firstLineChars="300"/>
        <w:rPr>
          <w:rFonts w:hint="eastAsia" w:ascii="宋体" w:hAnsi="宋体" w:eastAsia="宋体" w:cs="宋体"/>
          <w:sz w:val="24"/>
          <w:highlight w:val="none"/>
        </w:rPr>
      </w:pPr>
      <w:r>
        <w:rPr>
          <w:rFonts w:hint="eastAsia" w:ascii="宋体" w:hAnsi="宋体" w:eastAsia="宋体" w:cs="宋体"/>
          <w:sz w:val="24"/>
          <w:highlight w:val="none"/>
        </w:rPr>
        <w:t>2023年3月-2023年4月，成立工作组。根据计划任务的下达通知，承担单位成立文本编制工作小组，并根据GB/T 1.1-2020《标准化工作导则第1部分：标准化文件的结构和起草规则》的要求，查询、收集和认真研究国内外标准及相关资料，结合实验室条件，实验要求和方法技术特点，初步设计实验方案。</w:t>
      </w:r>
    </w:p>
    <w:p w14:paraId="364F3D5D">
      <w:pPr>
        <w:numPr>
          <w:ilvl w:val="0"/>
          <w:numId w:val="2"/>
        </w:numPr>
        <w:spacing w:line="360" w:lineRule="auto"/>
        <w:ind w:firstLine="720" w:firstLineChars="300"/>
        <w:rPr>
          <w:rFonts w:hint="eastAsia" w:ascii="宋体" w:hAnsi="宋体" w:eastAsia="宋体" w:cs="宋体"/>
          <w:sz w:val="24"/>
          <w:highlight w:val="none"/>
        </w:rPr>
      </w:pPr>
      <w:r>
        <w:rPr>
          <w:rFonts w:hint="eastAsia" w:ascii="宋体" w:hAnsi="宋体" w:eastAsia="宋体" w:cs="宋体"/>
          <w:sz w:val="24"/>
          <w:highlight w:val="none"/>
        </w:rPr>
        <w:t>2023年3月2023年4月，实验研究工作。根据实验方案，确定皮肤模型、</w:t>
      </w:r>
      <w:r>
        <w:rPr>
          <w:rFonts w:hint="eastAsia" w:ascii="宋体" w:hAnsi="宋体" w:eastAsia="宋体" w:cs="宋体"/>
          <w:sz w:val="24"/>
          <w:highlight w:val="none"/>
          <w:lang w:val="en-US" w:eastAsia="zh-CN"/>
        </w:rPr>
        <w:t>受试物</w:t>
      </w:r>
      <w:r>
        <w:rPr>
          <w:rFonts w:hint="eastAsia" w:ascii="宋体" w:hAnsi="宋体" w:eastAsia="宋体" w:cs="宋体"/>
          <w:sz w:val="24"/>
          <w:highlight w:val="none"/>
        </w:rPr>
        <w:t>上样量、接收介质、实验时间及取样时间点等条件，对一些易降解化合物，考察其在接收</w:t>
      </w:r>
      <w:r>
        <w:rPr>
          <w:rFonts w:hint="eastAsia" w:ascii="宋体" w:hAnsi="宋体" w:eastAsia="宋体" w:cs="宋体"/>
          <w:sz w:val="24"/>
          <w:highlight w:val="none"/>
          <w:lang w:val="en-US" w:eastAsia="zh-CN"/>
        </w:rPr>
        <w:t>液</w:t>
      </w:r>
      <w:r>
        <w:rPr>
          <w:rFonts w:hint="eastAsia" w:ascii="宋体" w:hAnsi="宋体" w:eastAsia="宋体" w:cs="宋体"/>
          <w:sz w:val="24"/>
          <w:highlight w:val="none"/>
        </w:rPr>
        <w:t>中的稳定性，对一些</w:t>
      </w:r>
      <w:r>
        <w:rPr>
          <w:rFonts w:hint="eastAsia" w:ascii="宋体" w:hAnsi="宋体" w:eastAsia="宋体" w:cs="宋体"/>
          <w:sz w:val="24"/>
          <w:highlight w:val="none"/>
          <w:lang w:val="en-US" w:eastAsia="zh-CN"/>
        </w:rPr>
        <w:t>亲脂</w:t>
      </w:r>
      <w:r>
        <w:rPr>
          <w:rFonts w:hint="eastAsia" w:ascii="宋体" w:hAnsi="宋体" w:eastAsia="宋体" w:cs="宋体"/>
          <w:sz w:val="24"/>
          <w:highlight w:val="none"/>
        </w:rPr>
        <w:t>性化合物，考察其在接收</w:t>
      </w:r>
      <w:r>
        <w:rPr>
          <w:rFonts w:hint="eastAsia" w:ascii="宋体" w:hAnsi="宋体" w:eastAsia="宋体" w:cs="宋体"/>
          <w:sz w:val="24"/>
          <w:highlight w:val="none"/>
          <w:lang w:val="en-US" w:eastAsia="zh-CN"/>
        </w:rPr>
        <w:t>液</w:t>
      </w:r>
      <w:r>
        <w:rPr>
          <w:rFonts w:hint="eastAsia" w:ascii="宋体" w:hAnsi="宋体" w:eastAsia="宋体" w:cs="宋体"/>
          <w:sz w:val="24"/>
          <w:highlight w:val="none"/>
        </w:rPr>
        <w:t>中溶解性。并考察方法的回收率、准确性，初步形成标准征求意见稿。</w:t>
      </w:r>
    </w:p>
    <w:p w14:paraId="18F1D734">
      <w:pPr>
        <w:numPr>
          <w:ilvl w:val="0"/>
          <w:numId w:val="2"/>
        </w:numPr>
        <w:spacing w:line="360" w:lineRule="auto"/>
        <w:ind w:firstLine="720" w:firstLineChars="300"/>
        <w:rPr>
          <w:rFonts w:hint="eastAsia" w:ascii="宋体" w:hAnsi="宋体" w:eastAsia="宋体" w:cs="宋体"/>
          <w:sz w:val="24"/>
          <w:highlight w:val="none"/>
        </w:rPr>
      </w:pPr>
      <w:r>
        <w:rPr>
          <w:rFonts w:hint="eastAsia" w:ascii="宋体" w:hAnsi="宋体" w:eastAsia="宋体" w:cs="宋体"/>
          <w:sz w:val="24"/>
          <w:highlight w:val="none"/>
        </w:rPr>
        <w:t>2023年4月-2024年7月，召开研讨会。会议由深圳杉海创新技术有限公司主持，参加会议的有各参编单位。会上，起草单位向参会人员汇报了本文本的编制背景、文本条款内容等，本文本基于体外Franz扩散池方法与巴马香猪离体皮肤模型对化妆品原料或成品进行体外经皮渗透实验，以色谱法或光谱法等方法对接收</w:t>
      </w:r>
      <w:r>
        <w:rPr>
          <w:rFonts w:hint="eastAsia" w:ascii="宋体" w:hAnsi="宋体" w:eastAsia="宋体" w:cs="宋体"/>
          <w:sz w:val="24"/>
          <w:highlight w:val="none"/>
          <w:lang w:val="en-US" w:eastAsia="zh-CN"/>
        </w:rPr>
        <w:t>液</w:t>
      </w:r>
      <w:r>
        <w:rPr>
          <w:rFonts w:hint="eastAsia" w:ascii="宋体" w:hAnsi="宋体" w:eastAsia="宋体" w:cs="宋体"/>
          <w:sz w:val="24"/>
          <w:highlight w:val="none"/>
        </w:rPr>
        <w:t>及离体皮肤中受试物进行定量定性，从而进行原料或成品中受试物经皮渗透评价。会议上，工程师们各抒己见，对文本的内容进行充分详尽的探讨，各参会人员就标准中涉及到的定义、实验操作细节及量化指标、仪器设备、实验条件等方面展开了充分的讨论。工作组在广泛听取各参会单位意见后，对文本进行了修改和补充，形成了验证方案。确定了验证试验的比对</w:t>
      </w:r>
      <w:r>
        <w:rPr>
          <w:rFonts w:hint="eastAsia" w:ascii="宋体" w:hAnsi="宋体" w:eastAsia="宋体" w:cs="宋体"/>
          <w:sz w:val="24"/>
          <w:highlight w:val="none"/>
          <w:lang w:val="en-US" w:eastAsia="zh-CN"/>
        </w:rPr>
        <w:t>受试物</w:t>
      </w:r>
      <w:r>
        <w:rPr>
          <w:rFonts w:hint="eastAsia" w:ascii="宋体" w:hAnsi="宋体" w:eastAsia="宋体" w:cs="宋体"/>
          <w:sz w:val="24"/>
          <w:highlight w:val="none"/>
        </w:rPr>
        <w:t>，组织3家有资质检测机构对方法进行验证，分别为广州质量监督检测研究院</w:t>
      </w:r>
      <w:r>
        <w:rPr>
          <w:rFonts w:hint="eastAsia" w:ascii="Times New Roman" w:hAnsi="Times New Roman" w:eastAsia="宋体" w:cs="Times New Roman"/>
          <w:sz w:val="24"/>
          <w:highlight w:val="none"/>
        </w:rPr>
        <w:t>、</w:t>
      </w:r>
      <w:r>
        <w:rPr>
          <w:rFonts w:hint="eastAsia" w:ascii="宋体" w:hAnsi="宋体" w:eastAsia="宋体" w:cs="宋体"/>
          <w:sz w:val="24"/>
          <w:highlight w:val="none"/>
        </w:rPr>
        <w:t>深圳杉海创新技术有限公司、</w:t>
      </w:r>
      <w:r>
        <w:rPr>
          <w:rFonts w:hint="eastAsia" w:ascii="Times New Roman" w:hAnsi="Times New Roman" w:eastAsia="宋体" w:cs="Times New Roman"/>
          <w:sz w:val="24"/>
          <w:highlight w:val="none"/>
        </w:rPr>
        <w:t>广州药科大学</w:t>
      </w:r>
      <w:r>
        <w:rPr>
          <w:rFonts w:hint="eastAsia" w:ascii="宋体" w:hAnsi="宋体" w:eastAsia="宋体" w:cs="宋体"/>
          <w:sz w:val="24"/>
          <w:highlight w:val="none"/>
        </w:rPr>
        <w:t>。</w:t>
      </w:r>
    </w:p>
    <w:p w14:paraId="10D9A522">
      <w:pPr>
        <w:pStyle w:val="34"/>
        <w:numPr>
          <w:ilvl w:val="0"/>
          <w:numId w:val="2"/>
        </w:numPr>
        <w:spacing w:before="0" w:after="0" w:line="360" w:lineRule="auto"/>
        <w:ind w:firstLine="720" w:firstLineChars="3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2024年8月-2024年11月，为验证试验阶段。验证结束后，牵头单位根据试验数据进行比对和分析，进一步完善标准文本。2024年12月12日，</w:t>
      </w:r>
      <w:r>
        <w:rPr>
          <w:rFonts w:hint="eastAsia" w:ascii="宋体" w:hAnsi="宋体" w:eastAsia="宋体" w:cs="宋体"/>
          <w:sz w:val="24"/>
          <w:highlight w:val="none"/>
        </w:rPr>
        <w:t>深圳杉海创新技术有限公司</w:t>
      </w:r>
      <w:r>
        <w:rPr>
          <w:rFonts w:hint="eastAsia" w:ascii="宋体" w:hAnsi="宋体" w:eastAsia="宋体" w:cs="宋体"/>
          <w:sz w:val="24"/>
          <w:szCs w:val="24"/>
          <w:highlight w:val="none"/>
        </w:rPr>
        <w:t>组织召开《</w:t>
      </w:r>
      <w:bookmarkStart w:id="2" w:name="NEW_STAND_NAME"/>
      <w:r>
        <w:rPr>
          <w:rFonts w:hint="eastAsia" w:ascii="宋体" w:hAnsi="宋体" w:eastAsia="宋体" w:cs="宋体"/>
          <w:sz w:val="24"/>
          <w:szCs w:val="24"/>
          <w:highlight w:val="none"/>
        </w:rPr>
        <w:t>化妆品经皮吸收 Franz扩散池法技术指南</w:t>
      </w:r>
      <w:bookmarkEnd w:id="2"/>
      <w:r>
        <w:rPr>
          <w:rFonts w:hint="eastAsia" w:ascii="宋体" w:hAnsi="宋体" w:eastAsia="宋体" w:cs="宋体"/>
          <w:sz w:val="24"/>
          <w:szCs w:val="24"/>
          <w:highlight w:val="none"/>
        </w:rPr>
        <w:t>》研讨会。会上，</w:t>
      </w:r>
      <w:r>
        <w:rPr>
          <w:rFonts w:hint="eastAsia" w:ascii="宋体" w:hAnsi="宋体" w:eastAsia="宋体" w:cs="宋体"/>
          <w:sz w:val="24"/>
          <w:highlight w:val="none"/>
        </w:rPr>
        <w:t>深圳杉海创新技术有限公司</w:t>
      </w:r>
      <w:r>
        <w:rPr>
          <w:rFonts w:hint="eastAsia" w:ascii="宋体" w:hAnsi="宋体" w:eastAsia="宋体" w:cs="宋体"/>
          <w:sz w:val="24"/>
          <w:szCs w:val="24"/>
          <w:highlight w:val="none"/>
        </w:rPr>
        <w:t>团标负责人向大家汇报了数据验证结果，各参编单位积极研讨，并对文本内容表示认同，形成了征求意见稿与编制说明。</w:t>
      </w:r>
    </w:p>
    <w:bookmarkEnd w:id="0"/>
    <w:p w14:paraId="29740D28">
      <w:pPr>
        <w:pStyle w:val="3"/>
        <w:rPr>
          <w:highlight w:val="none"/>
        </w:rPr>
      </w:pPr>
      <w:r>
        <w:rPr>
          <w:rFonts w:hint="eastAsia"/>
          <w:highlight w:val="none"/>
        </w:rPr>
        <w:t>1.3</w:t>
      </w:r>
      <w:r>
        <w:rPr>
          <w:highlight w:val="none"/>
        </w:rPr>
        <w:t>主要参加单位和工作组成员及其所做的工作等</w:t>
      </w:r>
    </w:p>
    <w:p w14:paraId="64298515">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主要起草单位：深圳杉海创新技术有限公司</w:t>
      </w:r>
    </w:p>
    <w:p w14:paraId="27E35065">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协作起草单位：云南贝泰妮生物科技集团股份有限公司、北京华熙海御科技有限公司、诺德溯源（广州）生物科技有限公司、水羊化妆品制造有限公司、广东简莳精准生物科技有限公司、深圳市宗匠科技有限公司、深圳市千誉科技有限公司、惠州绵俪生物科技有限公司、时垠（上海）生物科技有限公司、美出莱（杭州）化妆品有限责任公司、哈尔滨敷尔佳科技发展有限公司、懿奈（上海）生物科技有限公司、广州熵增科技有限公司、百特威（上海）化妆品有限公司、深圳市容大生物科技股份有限公司、广州中妆美业化妆品有限公司、上海传美实业有限公司、广东艾粒生物科技有限公司、广州梵之容化妆品有限公司、广州梦尔达科技有限公司、上海集妍化妆品科技有限公司</w:t>
      </w:r>
    </w:p>
    <w:p w14:paraId="568FFD65">
      <w:pPr>
        <w:spacing w:line="360" w:lineRule="auto"/>
        <w:ind w:firstLine="480" w:firstLineChars="200"/>
        <w:rPr>
          <w:rFonts w:hint="eastAsia" w:ascii="仿宋" w:hAnsi="仿宋" w:eastAsia="仿宋" w:cs="仿宋"/>
          <w:sz w:val="32"/>
          <w:szCs w:val="32"/>
          <w:highlight w:val="none"/>
        </w:rPr>
      </w:pPr>
      <w:r>
        <w:rPr>
          <w:rFonts w:hint="eastAsia" w:ascii="宋体" w:hAnsi="宋体" w:eastAsia="宋体" w:cs="宋体"/>
          <w:sz w:val="24"/>
          <w:highlight w:val="none"/>
        </w:rPr>
        <w:t>主要起草成员：待定</w:t>
      </w:r>
    </w:p>
    <w:p w14:paraId="24173DBE">
      <w:pPr>
        <w:pStyle w:val="2"/>
        <w:numPr>
          <w:ilvl w:val="0"/>
          <w:numId w:val="3"/>
        </w:numPr>
        <w:rPr>
          <w:highlight w:val="none"/>
        </w:rPr>
      </w:pPr>
      <w:r>
        <w:rPr>
          <w:rFonts w:hint="eastAsia"/>
          <w:highlight w:val="none"/>
        </w:rPr>
        <w:t>本文本编制原则和主要内容</w:t>
      </w:r>
    </w:p>
    <w:p w14:paraId="2AA87160">
      <w:pPr>
        <w:pStyle w:val="3"/>
        <w:rPr>
          <w:highlight w:val="none"/>
        </w:rPr>
      </w:pPr>
      <w:r>
        <w:rPr>
          <w:rFonts w:hint="eastAsia"/>
          <w:highlight w:val="none"/>
        </w:rPr>
        <w:t>2.1 编制原则</w:t>
      </w:r>
    </w:p>
    <w:p w14:paraId="1B123111">
      <w:pPr>
        <w:spacing w:line="360" w:lineRule="auto"/>
        <w:ind w:firstLine="600" w:firstLineChars="250"/>
        <w:rPr>
          <w:rFonts w:ascii="Times New Roman" w:hAnsi="Times New Roman" w:cs="Times New Roman"/>
          <w:sz w:val="24"/>
          <w:highlight w:val="none"/>
        </w:rPr>
      </w:pPr>
      <w:r>
        <w:rPr>
          <w:rFonts w:ascii="Times New Roman" w:hAnsi="Times New Roman" w:cs="Times New Roman"/>
          <w:sz w:val="24"/>
          <w:highlight w:val="none"/>
        </w:rPr>
        <w:t>本</w:t>
      </w:r>
      <w:r>
        <w:rPr>
          <w:rFonts w:hint="eastAsia" w:ascii="Times New Roman" w:hAnsi="Times New Roman" w:cs="Times New Roman"/>
          <w:sz w:val="24"/>
          <w:highlight w:val="none"/>
        </w:rPr>
        <w:t>文本</w:t>
      </w:r>
      <w:r>
        <w:rPr>
          <w:rFonts w:ascii="Times New Roman" w:hAnsi="Times New Roman" w:cs="Times New Roman"/>
          <w:sz w:val="24"/>
          <w:highlight w:val="none"/>
        </w:rPr>
        <w:t>的制定符合产业发展的原则。本着先进性、科学性、合理性和可操作性的原则，以及</w:t>
      </w:r>
      <w:r>
        <w:rPr>
          <w:rFonts w:hint="eastAsia" w:ascii="Times New Roman" w:hAnsi="Times New Roman" w:cs="Times New Roman"/>
          <w:sz w:val="24"/>
          <w:highlight w:val="none"/>
        </w:rPr>
        <w:t>方法</w:t>
      </w:r>
      <w:r>
        <w:rPr>
          <w:rFonts w:ascii="Times New Roman" w:hAnsi="Times New Roman" w:cs="Times New Roman"/>
          <w:sz w:val="24"/>
          <w:highlight w:val="none"/>
        </w:rPr>
        <w:t>的目标、统一性、协调性、适用性、一致性和规范性原则来进行本</w:t>
      </w:r>
      <w:r>
        <w:rPr>
          <w:rFonts w:hint="eastAsia" w:ascii="Times New Roman" w:hAnsi="Times New Roman" w:cs="Times New Roman"/>
          <w:sz w:val="24"/>
          <w:highlight w:val="none"/>
        </w:rPr>
        <w:t>文本</w:t>
      </w:r>
      <w:r>
        <w:rPr>
          <w:rFonts w:ascii="Times New Roman" w:hAnsi="Times New Roman" w:cs="Times New Roman"/>
          <w:sz w:val="24"/>
          <w:highlight w:val="none"/>
        </w:rPr>
        <w:t>的制定工作。</w:t>
      </w:r>
    </w:p>
    <w:p w14:paraId="23F10DB4">
      <w:pPr>
        <w:spacing w:line="360" w:lineRule="auto"/>
        <w:ind w:firstLine="600" w:firstLineChars="250"/>
        <w:rPr>
          <w:rFonts w:ascii="Times New Roman" w:hAnsi="Times New Roman" w:cs="Times New Roman"/>
          <w:sz w:val="24"/>
          <w:highlight w:val="none"/>
        </w:rPr>
      </w:pPr>
      <w:r>
        <w:rPr>
          <w:rFonts w:ascii="Times New Roman" w:hAnsi="Times New Roman" w:cs="Times New Roman"/>
          <w:sz w:val="24"/>
          <w:highlight w:val="none"/>
        </w:rPr>
        <w:t>本</w:t>
      </w:r>
      <w:r>
        <w:rPr>
          <w:rFonts w:hint="eastAsia" w:ascii="Times New Roman" w:hAnsi="Times New Roman" w:cs="Times New Roman"/>
          <w:sz w:val="24"/>
          <w:highlight w:val="none"/>
        </w:rPr>
        <w:t>文本</w:t>
      </w:r>
      <w:r>
        <w:rPr>
          <w:rFonts w:ascii="Times New Roman" w:hAnsi="Times New Roman" w:cs="Times New Roman"/>
          <w:sz w:val="24"/>
          <w:highlight w:val="none"/>
        </w:rPr>
        <w:t>是按照GB/T 1.1-2020《标准化工作导则 第1部分：标准的结构和编写》和GB/T 20001.4-2015《标准编写规则 第4部分：试验方法标准》的要求编写的。</w:t>
      </w:r>
      <w:r>
        <w:rPr>
          <w:rFonts w:hint="eastAsia" w:ascii="Times New Roman" w:hAnsi="Times New Roman" w:cs="Times New Roman"/>
          <w:sz w:val="24"/>
          <w:highlight w:val="none"/>
        </w:rPr>
        <w:t>充分考虑了各类皮肤模型的结构特点，以及受试物测定方法的适用性，考察了受试物在接收液的稳定性和溶解性，参照国内外先进研究成果和试验方法，遵循“科学性、实用性、规范性”的原则，制定了</w:t>
      </w:r>
      <w:r>
        <w:rPr>
          <w:rFonts w:hint="eastAsia" w:ascii="宋体" w:hAnsi="宋体" w:eastAsia="宋体" w:cs="宋体"/>
          <w:sz w:val="24"/>
          <w:highlight w:val="none"/>
        </w:rPr>
        <w:t>《化妆品经皮吸收 Franz扩散池法技术指南》</w:t>
      </w:r>
      <w:r>
        <w:rPr>
          <w:rFonts w:hint="eastAsia" w:ascii="Times New Roman" w:hAnsi="Times New Roman" w:cs="Times New Roman"/>
          <w:sz w:val="24"/>
          <w:highlight w:val="none"/>
        </w:rPr>
        <w:t>。</w:t>
      </w:r>
    </w:p>
    <w:p w14:paraId="71A77287">
      <w:pPr>
        <w:pStyle w:val="3"/>
        <w:rPr>
          <w:highlight w:val="none"/>
        </w:rPr>
      </w:pPr>
      <w:r>
        <w:rPr>
          <w:rFonts w:hint="eastAsia"/>
          <w:highlight w:val="none"/>
        </w:rPr>
        <w:t>2.2 研制背景</w:t>
      </w:r>
    </w:p>
    <w:p w14:paraId="5817542A">
      <w:pPr>
        <w:spacing w:line="360" w:lineRule="auto"/>
        <w:ind w:firstLine="600" w:firstLineChars="250"/>
        <w:rPr>
          <w:rFonts w:ascii="Times New Roman" w:hAnsi="Times New Roman" w:cs="Times New Roman"/>
          <w:sz w:val="24"/>
          <w:highlight w:val="none"/>
        </w:rPr>
      </w:pPr>
      <w:r>
        <w:rPr>
          <w:rFonts w:hint="eastAsia" w:ascii="Times New Roman" w:hAnsi="Times New Roman" w:cs="Times New Roman"/>
          <w:sz w:val="24"/>
          <w:highlight w:val="none"/>
        </w:rPr>
        <w:t>活性物质的经皮</w:t>
      </w:r>
      <w:r>
        <w:rPr>
          <w:rFonts w:hint="eastAsia" w:ascii="Times New Roman" w:hAnsi="Times New Roman" w:cs="Times New Roman"/>
          <w:sz w:val="24"/>
          <w:highlight w:val="none"/>
          <w:lang w:val="en-US" w:eastAsia="zh-CN"/>
        </w:rPr>
        <w:t>吸收</w:t>
      </w:r>
      <w:r>
        <w:rPr>
          <w:rFonts w:hint="eastAsia" w:ascii="Times New Roman" w:hAnsi="Times New Roman" w:cs="Times New Roman"/>
          <w:sz w:val="24"/>
          <w:highlight w:val="none"/>
        </w:rPr>
        <w:t>是近年来功能性化妆品研究的重要课题之一，这些物质大多数需透过皮肤的角质层，达到深层表皮或者真皮层才能起到生物学作用。因此，化妆品中生物活性物质的经皮</w:t>
      </w:r>
      <w:r>
        <w:rPr>
          <w:rFonts w:hint="eastAsia" w:ascii="Times New Roman" w:hAnsi="Times New Roman" w:cs="Times New Roman"/>
          <w:sz w:val="24"/>
          <w:highlight w:val="none"/>
          <w:lang w:val="en-US" w:eastAsia="zh-CN"/>
        </w:rPr>
        <w:t>吸收</w:t>
      </w:r>
      <w:r>
        <w:rPr>
          <w:rFonts w:hint="eastAsia" w:ascii="Times New Roman" w:hAnsi="Times New Roman" w:cs="Times New Roman"/>
          <w:sz w:val="24"/>
          <w:highlight w:val="none"/>
        </w:rPr>
        <w:t>程度和速率</w:t>
      </w:r>
      <w:r>
        <w:rPr>
          <w:rFonts w:hint="eastAsia" w:ascii="Times New Roman" w:hAnsi="Times New Roman" w:cs="Times New Roman"/>
          <w:sz w:val="24"/>
          <w:highlight w:val="none"/>
          <w:lang w:eastAsia="zh-CN"/>
        </w:rPr>
        <w:t>，</w:t>
      </w:r>
      <w:r>
        <w:rPr>
          <w:rFonts w:hint="eastAsia" w:ascii="Times New Roman" w:hAnsi="Times New Roman" w:cs="Times New Roman"/>
          <w:sz w:val="24"/>
          <w:highlight w:val="none"/>
        </w:rPr>
        <w:t>是功能性化妆品具有竞争力的重要因素。此外，化妆品行业发展很快，化妆品安全问题日益引发关注，经皮吸收率问题，也是评价化妆品安全性的一个很重要因素。</w:t>
      </w:r>
    </w:p>
    <w:p w14:paraId="1FA91F30">
      <w:pPr>
        <w:spacing w:line="360" w:lineRule="auto"/>
        <w:ind w:firstLine="600" w:firstLineChars="250"/>
        <w:rPr>
          <w:rFonts w:ascii="Times New Roman" w:hAnsi="Times New Roman" w:cs="Times New Roman"/>
          <w:sz w:val="24"/>
          <w:highlight w:val="none"/>
        </w:rPr>
      </w:pPr>
      <w:r>
        <w:rPr>
          <w:rFonts w:hint="eastAsia" w:ascii="Times New Roman" w:hAnsi="Times New Roman" w:cs="Times New Roman"/>
          <w:sz w:val="24"/>
          <w:highlight w:val="none"/>
        </w:rPr>
        <w:t>目前，我国化妆品行业尚未建立统一的对化妆品活性成分或有害成分经皮</w:t>
      </w:r>
      <w:r>
        <w:rPr>
          <w:rFonts w:hint="eastAsia" w:ascii="Times New Roman" w:hAnsi="Times New Roman" w:cs="Times New Roman"/>
          <w:sz w:val="24"/>
          <w:highlight w:val="none"/>
          <w:lang w:val="en-US" w:eastAsia="zh-CN"/>
        </w:rPr>
        <w:t>吸收</w:t>
      </w:r>
      <w:r>
        <w:rPr>
          <w:rFonts w:hint="eastAsia" w:ascii="Times New Roman" w:hAnsi="Times New Roman" w:cs="Times New Roman"/>
          <w:sz w:val="24"/>
          <w:highlight w:val="none"/>
        </w:rPr>
        <w:t>的行业或国家检测方法，企业在对化妆品进行活性成分的检测和化妆品经皮吸收率的评估等时面临很多困难，不利于产品的研发和行业的发展。经皮</w:t>
      </w:r>
      <w:r>
        <w:rPr>
          <w:rFonts w:hint="eastAsia" w:ascii="Times New Roman" w:hAnsi="Times New Roman" w:cs="Times New Roman"/>
          <w:sz w:val="24"/>
          <w:highlight w:val="none"/>
          <w:lang w:val="en-US" w:eastAsia="zh-CN"/>
        </w:rPr>
        <w:t>吸收</w:t>
      </w:r>
      <w:r>
        <w:rPr>
          <w:rFonts w:hint="eastAsia" w:ascii="Times New Roman" w:hAnsi="Times New Roman" w:cs="Times New Roman"/>
          <w:sz w:val="24"/>
          <w:highlight w:val="none"/>
        </w:rPr>
        <w:t>检测方法主要是用来检测功效成分或有害成分的</w:t>
      </w:r>
      <w:r>
        <w:rPr>
          <w:rFonts w:hint="eastAsia" w:ascii="Times New Roman" w:hAnsi="Times New Roman" w:cs="Times New Roman"/>
          <w:sz w:val="24"/>
          <w:highlight w:val="none"/>
          <w:lang w:val="en-US" w:eastAsia="zh-CN"/>
        </w:rPr>
        <w:t>经皮</w:t>
      </w:r>
      <w:r>
        <w:rPr>
          <w:rFonts w:hint="eastAsia" w:ascii="Times New Roman" w:hAnsi="Times New Roman" w:cs="Times New Roman"/>
          <w:sz w:val="24"/>
          <w:highlight w:val="none"/>
        </w:rPr>
        <w:t>吸收速率、渗透量等，该方法可对活性物质在皮肤中的分布及其在不同皮层的含量进行研究。该方法的建立，可为化妆品行业提供对活性成分经皮</w:t>
      </w:r>
      <w:r>
        <w:rPr>
          <w:rFonts w:hint="eastAsia" w:ascii="Times New Roman" w:hAnsi="Times New Roman" w:cs="Times New Roman"/>
          <w:sz w:val="24"/>
          <w:highlight w:val="none"/>
          <w:lang w:val="en-US" w:eastAsia="zh-CN"/>
        </w:rPr>
        <w:t>吸收</w:t>
      </w:r>
      <w:r>
        <w:rPr>
          <w:rFonts w:hint="eastAsia" w:ascii="Times New Roman" w:hAnsi="Times New Roman" w:cs="Times New Roman"/>
          <w:sz w:val="24"/>
          <w:highlight w:val="none"/>
        </w:rPr>
        <w:t>的统一检测方法，填补行业空白，让企业有法可依。一方面，可为化妆品的开发和改进提供依据，能有效促进化妆品生产企业开发出更多更优秀的产品；另一方面，可为化妆品的安全评估提供可靠的数据支持，有效促进和助力化妆品行业创新健康发展。</w:t>
      </w:r>
    </w:p>
    <w:p w14:paraId="2DCB2F82">
      <w:pPr>
        <w:spacing w:line="360" w:lineRule="auto"/>
        <w:ind w:firstLine="600" w:firstLineChars="250"/>
        <w:rPr>
          <w:rFonts w:ascii="Times New Roman" w:hAnsi="Times New Roman" w:cs="Times New Roman"/>
          <w:sz w:val="24"/>
          <w:highlight w:val="none"/>
        </w:rPr>
      </w:pPr>
    </w:p>
    <w:p w14:paraId="4B9655C6">
      <w:pPr>
        <w:pStyle w:val="3"/>
        <w:rPr>
          <w:highlight w:val="none"/>
        </w:rPr>
      </w:pPr>
      <w:r>
        <w:rPr>
          <w:rFonts w:hint="eastAsia"/>
          <w:highlight w:val="none"/>
        </w:rPr>
        <w:t>2.3 解决的主要问题</w:t>
      </w:r>
    </w:p>
    <w:p w14:paraId="61657B13">
      <w:pPr>
        <w:spacing w:line="360" w:lineRule="auto"/>
        <w:ind w:firstLine="600" w:firstLineChars="250"/>
        <w:rPr>
          <w:rFonts w:ascii="Times New Roman" w:hAnsi="Times New Roman" w:cs="Times New Roman"/>
          <w:sz w:val="24"/>
          <w:highlight w:val="none"/>
        </w:rPr>
      </w:pPr>
      <w:r>
        <w:rPr>
          <w:rFonts w:hint="eastAsia" w:ascii="Times New Roman" w:hAnsi="Times New Roman" w:cs="Times New Roman"/>
          <w:sz w:val="24"/>
          <w:highlight w:val="none"/>
        </w:rPr>
        <w:t>本研究通过文献调研与系列预实验，确定了经皮吸收试验方法与离体皮肤模型，并</w:t>
      </w:r>
      <w:r>
        <w:rPr>
          <w:rFonts w:hint="eastAsia" w:ascii="Times New Roman" w:hAnsi="Times New Roman" w:cs="Times New Roman"/>
          <w:sz w:val="24"/>
          <w:highlight w:val="none"/>
          <w:lang w:val="en-US" w:eastAsia="zh-CN"/>
        </w:rPr>
        <w:t>针对</w:t>
      </w:r>
      <w:r>
        <w:rPr>
          <w:rFonts w:hint="eastAsia" w:ascii="Times New Roman" w:hAnsi="Times New Roman" w:cs="Times New Roman"/>
          <w:sz w:val="24"/>
          <w:highlight w:val="none"/>
        </w:rPr>
        <w:t>皮肤模型处理方法、接收液的选择标准、上样量以及多个实验控制指标</w:t>
      </w:r>
      <w:r>
        <w:rPr>
          <w:rFonts w:hint="eastAsia" w:ascii="Times New Roman" w:hAnsi="Times New Roman" w:cs="Times New Roman"/>
          <w:sz w:val="24"/>
          <w:highlight w:val="none"/>
          <w:lang w:val="en-US" w:eastAsia="zh-CN"/>
        </w:rPr>
        <w:t>提供了指引</w:t>
      </w:r>
      <w:r>
        <w:rPr>
          <w:rFonts w:hint="eastAsia" w:ascii="Times New Roman" w:hAnsi="Times New Roman" w:cs="Times New Roman"/>
          <w:sz w:val="24"/>
          <w:highlight w:val="none"/>
        </w:rPr>
        <w:t>，形成了</w:t>
      </w:r>
      <w:r>
        <w:rPr>
          <w:rFonts w:hint="eastAsia" w:ascii="宋体" w:hAnsi="宋体" w:eastAsia="宋体" w:cs="宋体"/>
          <w:sz w:val="24"/>
          <w:highlight w:val="none"/>
        </w:rPr>
        <w:t>《化妆品经皮吸收 Franz扩散池法技术指南》文本</w:t>
      </w:r>
      <w:r>
        <w:rPr>
          <w:rFonts w:hint="eastAsia" w:ascii="Times New Roman" w:hAnsi="Times New Roman" w:cs="Times New Roman"/>
          <w:sz w:val="24"/>
          <w:highlight w:val="none"/>
        </w:rPr>
        <w:t>。</w:t>
      </w:r>
    </w:p>
    <w:p w14:paraId="0D2F6232">
      <w:pPr>
        <w:pStyle w:val="3"/>
        <w:rPr>
          <w:highlight w:val="none"/>
        </w:rPr>
      </w:pPr>
      <w:r>
        <w:rPr>
          <w:rFonts w:hint="eastAsia"/>
          <w:highlight w:val="none"/>
        </w:rPr>
        <w:t>2.4 文本主要内容及确定主要内容的依据</w:t>
      </w:r>
    </w:p>
    <w:p w14:paraId="6DD6C6EB">
      <w:pPr>
        <w:widowControl/>
        <w:spacing w:line="360" w:lineRule="auto"/>
        <w:outlineLvl w:val="2"/>
        <w:rPr>
          <w:rStyle w:val="33"/>
          <w:b/>
          <w:szCs w:val="22"/>
          <w:highlight w:val="none"/>
        </w:rPr>
      </w:pPr>
      <w:r>
        <w:rPr>
          <w:rStyle w:val="33"/>
          <w:rFonts w:cs="Times New Roman"/>
          <w:szCs w:val="22"/>
          <w:highlight w:val="none"/>
        </w:rPr>
        <w:t xml:space="preserve">2.4.1 </w:t>
      </w:r>
      <w:r>
        <w:rPr>
          <w:rStyle w:val="33"/>
          <w:szCs w:val="22"/>
          <w:highlight w:val="none"/>
        </w:rPr>
        <w:t>试验方法的确定</w:t>
      </w:r>
    </w:p>
    <w:p w14:paraId="639A0C65">
      <w:pPr>
        <w:pStyle w:val="9"/>
        <w:spacing w:before="0" w:beforeAutospacing="0" w:after="0" w:afterAutospacing="0" w:line="360" w:lineRule="auto"/>
        <w:ind w:firstLine="480" w:firstLineChars="200"/>
        <w:jc w:val="both"/>
        <w:rPr>
          <w:rFonts w:ascii="Times New Roman" w:hAnsi="Times New Roman" w:cs="Times New Roman"/>
          <w:kern w:val="2"/>
          <w:highlight w:val="none"/>
        </w:rPr>
      </w:pPr>
      <w:r>
        <w:rPr>
          <w:rFonts w:ascii="Times New Roman" w:hAnsi="Times New Roman" w:cs="Times New Roman"/>
          <w:kern w:val="2"/>
          <w:highlight w:val="none"/>
        </w:rPr>
        <w:t>经皮</w:t>
      </w:r>
      <w:r>
        <w:rPr>
          <w:rFonts w:hint="eastAsia" w:ascii="Times New Roman" w:hAnsi="Times New Roman" w:cs="Times New Roman"/>
          <w:kern w:val="2"/>
          <w:highlight w:val="none"/>
        </w:rPr>
        <w:t>吸收</w:t>
      </w:r>
      <w:r>
        <w:rPr>
          <w:rFonts w:ascii="Times New Roman" w:hAnsi="Times New Roman" w:cs="Times New Roman"/>
          <w:kern w:val="2"/>
          <w:highlight w:val="none"/>
        </w:rPr>
        <w:t>的检测方法包括体外法和在体法，体外法有Franz扩散池法、Valia-Chien扩散池、数学模型法等。在体法有胶带粘贴法和拉曼光谱仪等。</w:t>
      </w:r>
    </w:p>
    <w:p w14:paraId="27DA759B">
      <w:pPr>
        <w:pStyle w:val="9"/>
        <w:spacing w:before="0" w:beforeAutospacing="0" w:after="0" w:afterAutospacing="0" w:line="360" w:lineRule="auto"/>
        <w:ind w:firstLine="480" w:firstLineChars="200"/>
        <w:rPr>
          <w:rFonts w:ascii="Times New Roman" w:hAnsi="Times New Roman" w:cs="Times New Roman"/>
          <w:kern w:val="2"/>
          <w:highlight w:val="none"/>
        </w:rPr>
      </w:pPr>
      <w:r>
        <w:rPr>
          <w:rFonts w:ascii="Times New Roman" w:hAnsi="Times New Roman" w:cs="Times New Roman"/>
          <w:kern w:val="2"/>
          <w:highlight w:val="none"/>
        </w:rPr>
        <w:t>胶带粘贴技术是一种测定角质层中化学物质含量的方法。该技术可以</w:t>
      </w:r>
      <w:r>
        <w:rPr>
          <w:rFonts w:hint="eastAsia" w:ascii="Times New Roman" w:hAnsi="Times New Roman" w:cs="Times New Roman"/>
          <w:kern w:val="2"/>
          <w:highlight w:val="none"/>
        </w:rPr>
        <w:t>在同一个体上进行</w:t>
      </w:r>
      <w:r>
        <w:rPr>
          <w:rFonts w:ascii="Times New Roman" w:hAnsi="Times New Roman" w:cs="Times New Roman"/>
          <w:kern w:val="2"/>
          <w:highlight w:val="none"/>
        </w:rPr>
        <w:t>多个取样点</w:t>
      </w:r>
      <w:r>
        <w:rPr>
          <w:rFonts w:hint="eastAsia" w:ascii="Times New Roman" w:hAnsi="Times New Roman" w:cs="Times New Roman"/>
          <w:kern w:val="2"/>
          <w:highlight w:val="none"/>
        </w:rPr>
        <w:t>的研究</w:t>
      </w:r>
      <w:r>
        <w:rPr>
          <w:rFonts w:ascii="Times New Roman" w:hAnsi="Times New Roman" w:cs="Times New Roman"/>
          <w:kern w:val="2"/>
          <w:highlight w:val="none"/>
        </w:rPr>
        <w:t>，但是胶带剥离的角质层的量易受胶带粘贴性能、粘贴时施加的压力、溶解受试物的</w:t>
      </w:r>
      <w:r>
        <w:rPr>
          <w:rFonts w:hint="default" w:ascii="Times New Roman" w:hAnsi="Times New Roman" w:cs="Times New Roman"/>
          <w:kern w:val="2"/>
          <w:highlight w:val="none"/>
          <w:lang w:val="en-US"/>
        </w:rPr>
        <w:t>介质</w:t>
      </w:r>
      <w:r>
        <w:rPr>
          <w:rFonts w:ascii="Times New Roman" w:hAnsi="Times New Roman" w:cs="Times New Roman"/>
          <w:kern w:val="2"/>
          <w:highlight w:val="none"/>
        </w:rPr>
        <w:t>以及个体和解剖结构上的差异等因素影响</w:t>
      </w:r>
      <w:r>
        <w:rPr>
          <w:rFonts w:hint="eastAsia" w:ascii="Times New Roman" w:hAnsi="Times New Roman" w:cs="Times New Roman"/>
          <w:kern w:val="2"/>
          <w:highlight w:val="none"/>
        </w:rPr>
        <w:t>，变异性较大</w:t>
      </w:r>
      <w:r>
        <w:rPr>
          <w:rFonts w:ascii="Times New Roman" w:hAnsi="Times New Roman" w:cs="Times New Roman"/>
          <w:kern w:val="2"/>
          <w:highlight w:val="none"/>
        </w:rPr>
        <w:t>，</w:t>
      </w:r>
      <w:r>
        <w:rPr>
          <w:rFonts w:hint="eastAsia" w:ascii="Times New Roman" w:hAnsi="Times New Roman" w:cs="Times New Roman"/>
          <w:kern w:val="2"/>
          <w:highlight w:val="none"/>
        </w:rPr>
        <w:t>导致</w:t>
      </w:r>
      <w:r>
        <w:rPr>
          <w:rFonts w:ascii="Times New Roman" w:hAnsi="Times New Roman" w:cs="Times New Roman"/>
          <w:kern w:val="2"/>
          <w:highlight w:val="none"/>
        </w:rPr>
        <w:t>试验重复性差。</w:t>
      </w:r>
    </w:p>
    <w:p w14:paraId="02DE78E7">
      <w:pPr>
        <w:pStyle w:val="9"/>
        <w:spacing w:before="0" w:beforeAutospacing="0" w:after="0" w:afterAutospacing="0" w:line="360" w:lineRule="auto"/>
        <w:ind w:firstLine="480" w:firstLineChars="200"/>
        <w:rPr>
          <w:rFonts w:ascii="Times New Roman" w:hAnsi="Times New Roman" w:cs="Times New Roman"/>
          <w:kern w:val="2"/>
          <w:highlight w:val="none"/>
        </w:rPr>
      </w:pPr>
      <w:r>
        <w:rPr>
          <w:rFonts w:ascii="Times New Roman" w:hAnsi="Times New Roman" w:cs="Times New Roman"/>
          <w:kern w:val="2"/>
          <w:highlight w:val="none"/>
        </w:rPr>
        <w:t>傅里叶变换衰减全反射红外光谱法、共聚焦拉曼显微镜和荧光寿命显微成像技术等无创、实时的检测技术也在化妆品经皮</w:t>
      </w:r>
      <w:r>
        <w:rPr>
          <w:rFonts w:hint="eastAsia" w:ascii="Times New Roman" w:hAnsi="Times New Roman" w:cs="Times New Roman"/>
          <w:kern w:val="2"/>
          <w:highlight w:val="none"/>
          <w:lang w:val="en-US" w:eastAsia="zh-CN"/>
        </w:rPr>
        <w:t>吸收</w:t>
      </w:r>
      <w:r>
        <w:rPr>
          <w:rFonts w:ascii="Times New Roman" w:hAnsi="Times New Roman" w:cs="Times New Roman"/>
          <w:kern w:val="2"/>
          <w:highlight w:val="none"/>
        </w:rPr>
        <w:t>方面的应用越来越广泛，但是这些检测设备通常较为昂贵，实验室普及性较差而且这些光谱测试方法对实验者要求较高，实验时一般要求测试部位长时间保持不能移动，</w:t>
      </w:r>
      <w:r>
        <w:rPr>
          <w:rFonts w:hint="eastAsia" w:ascii="Times New Roman" w:hAnsi="Times New Roman" w:cs="Times New Roman"/>
          <w:kern w:val="2"/>
          <w:highlight w:val="none"/>
        </w:rPr>
        <w:t>实际操作时</w:t>
      </w:r>
      <w:r>
        <w:rPr>
          <w:rFonts w:ascii="Times New Roman" w:hAnsi="Times New Roman" w:cs="Times New Roman"/>
          <w:kern w:val="2"/>
          <w:highlight w:val="none"/>
        </w:rPr>
        <w:t>具有一定挑战性。</w:t>
      </w:r>
    </w:p>
    <w:p w14:paraId="2BD0F53C">
      <w:pPr>
        <w:pStyle w:val="9"/>
        <w:spacing w:before="0" w:beforeAutospacing="0" w:after="0" w:afterAutospacing="0" w:line="360" w:lineRule="auto"/>
        <w:ind w:firstLine="480" w:firstLineChars="200"/>
        <w:jc w:val="both"/>
        <w:rPr>
          <w:rFonts w:ascii="Times New Roman" w:hAnsi="Times New Roman" w:cs="Times New Roman"/>
          <w:kern w:val="2"/>
          <w:highlight w:val="none"/>
        </w:rPr>
      </w:pPr>
      <w:r>
        <w:rPr>
          <w:rFonts w:hint="eastAsia" w:ascii="Times New Roman" w:hAnsi="Times New Roman" w:cs="Times New Roman"/>
          <w:kern w:val="2"/>
          <w:highlight w:val="none"/>
        </w:rPr>
        <w:t>扩散池可分为静态扩散池和动态扩散池两大类，静态扩散池组成部件较少，出现的故障率相对较低。静态扩散池有</w:t>
      </w:r>
      <w:r>
        <w:rPr>
          <w:rFonts w:ascii="Times New Roman" w:hAnsi="Times New Roman" w:cs="Times New Roman"/>
          <w:kern w:val="2"/>
          <w:highlight w:val="none"/>
        </w:rPr>
        <w:t>Franz</w:t>
      </w:r>
      <w:r>
        <w:rPr>
          <w:rFonts w:hint="eastAsia" w:ascii="Times New Roman" w:hAnsi="Times New Roman" w:cs="Times New Roman"/>
          <w:kern w:val="2"/>
          <w:highlight w:val="none"/>
        </w:rPr>
        <w:t>扩散池和</w:t>
      </w:r>
      <w:r>
        <w:rPr>
          <w:rFonts w:ascii="Times New Roman" w:hAnsi="Times New Roman" w:cs="Times New Roman"/>
          <w:kern w:val="2"/>
          <w:highlight w:val="none"/>
        </w:rPr>
        <w:t>Valia-Chien</w:t>
      </w:r>
      <w:r>
        <w:rPr>
          <w:rFonts w:hint="eastAsia" w:ascii="Times New Roman" w:hAnsi="Times New Roman" w:cs="Times New Roman"/>
          <w:kern w:val="2"/>
          <w:highlight w:val="none"/>
        </w:rPr>
        <w:t>扩散池两种，其中</w:t>
      </w:r>
      <w:r>
        <w:rPr>
          <w:rFonts w:ascii="Times New Roman" w:hAnsi="Times New Roman" w:cs="Times New Roman"/>
          <w:kern w:val="2"/>
          <w:highlight w:val="none"/>
        </w:rPr>
        <w:t>Franz</w:t>
      </w:r>
      <w:r>
        <w:rPr>
          <w:rFonts w:hint="eastAsia" w:ascii="Times New Roman" w:hAnsi="Times New Roman" w:cs="Times New Roman"/>
          <w:kern w:val="2"/>
          <w:highlight w:val="none"/>
        </w:rPr>
        <w:t>扩散池为垂直式扩散池，即皮肤模型将扩散装置分为上下两室，此种扩散池最为常用。扩散池法操作方便，节约时间和成本，限制性参数的变异小，适用于多种离体皮肤。</w:t>
      </w:r>
    </w:p>
    <w:p w14:paraId="0A5CC4F0">
      <w:pPr>
        <w:pStyle w:val="9"/>
        <w:spacing w:before="0" w:beforeAutospacing="0" w:after="0" w:afterAutospacing="0" w:line="360" w:lineRule="auto"/>
        <w:ind w:firstLine="480" w:firstLineChars="200"/>
        <w:rPr>
          <w:rFonts w:ascii="Times New Roman" w:hAnsi="Times New Roman" w:cs="Times New Roman"/>
          <w:kern w:val="2"/>
          <w:highlight w:val="none"/>
        </w:rPr>
      </w:pPr>
      <w:r>
        <w:rPr>
          <w:rFonts w:hint="eastAsia" w:ascii="Times New Roman" w:hAnsi="Times New Roman" w:cs="Times New Roman"/>
          <w:kern w:val="2"/>
          <w:highlight w:val="none"/>
        </w:rPr>
        <w:t>综上所述，体外扩散池法是化妆品配方成分经皮吸收试验的方法之一。本标准采用</w:t>
      </w:r>
      <w:r>
        <w:rPr>
          <w:rFonts w:ascii="Times New Roman" w:hAnsi="Times New Roman" w:cs="Times New Roman"/>
          <w:kern w:val="2"/>
          <w:highlight w:val="none"/>
        </w:rPr>
        <w:t>Franz</w:t>
      </w:r>
      <w:r>
        <w:rPr>
          <w:rFonts w:hint="eastAsia" w:ascii="Times New Roman" w:hAnsi="Times New Roman" w:cs="Times New Roman"/>
          <w:kern w:val="2"/>
          <w:highlight w:val="none"/>
        </w:rPr>
        <w:t>扩散池法。</w:t>
      </w:r>
    </w:p>
    <w:p w14:paraId="23FBCFE8">
      <w:pPr>
        <w:spacing w:line="360" w:lineRule="auto"/>
        <w:outlineLvl w:val="2"/>
        <w:rPr>
          <w:rStyle w:val="33"/>
          <w:rFonts w:cs="宋体"/>
          <w:kern w:val="0"/>
          <w:szCs w:val="22"/>
          <w:highlight w:val="none"/>
        </w:rPr>
      </w:pPr>
      <w:r>
        <w:rPr>
          <w:rStyle w:val="33"/>
          <w:szCs w:val="22"/>
          <w:highlight w:val="none"/>
        </w:rPr>
        <w:t>2.4.2 皮肤模型的确定</w:t>
      </w:r>
    </w:p>
    <w:p w14:paraId="0E63AAE9">
      <w:pPr>
        <w:pStyle w:val="9"/>
        <w:spacing w:before="0" w:beforeAutospacing="0" w:after="0" w:afterAutospacing="0" w:line="360" w:lineRule="auto"/>
        <w:ind w:firstLine="480" w:firstLineChars="200"/>
        <w:rPr>
          <w:rFonts w:ascii="Times New Roman" w:hAnsi="Times New Roman" w:cs="Times New Roman"/>
          <w:kern w:val="2"/>
          <w:highlight w:val="none"/>
        </w:rPr>
      </w:pPr>
      <w:r>
        <w:rPr>
          <w:rFonts w:ascii="Times New Roman" w:hAnsi="Times New Roman" w:cs="Times New Roman"/>
          <w:kern w:val="2"/>
          <w:highlight w:val="none"/>
        </w:rPr>
        <w:t>体外试验用的皮肤模型通常有动物皮肤、离体人体皮肤以及人工皮肤几大类。</w:t>
      </w:r>
    </w:p>
    <w:p w14:paraId="20A065E4">
      <w:pPr>
        <w:pStyle w:val="9"/>
        <w:spacing w:before="0" w:beforeAutospacing="0" w:after="0" w:afterAutospacing="0" w:line="360" w:lineRule="auto"/>
        <w:ind w:firstLine="480" w:firstLineChars="200"/>
        <w:jc w:val="both"/>
        <w:rPr>
          <w:rFonts w:ascii="Times New Roman" w:hAnsi="Times New Roman" w:cs="Times New Roman"/>
          <w:kern w:val="2"/>
          <w:highlight w:val="none"/>
        </w:rPr>
      </w:pPr>
      <w:r>
        <w:rPr>
          <w:rFonts w:ascii="Times New Roman" w:hAnsi="Times New Roman" w:cs="Times New Roman"/>
          <w:kern w:val="2"/>
          <w:highlight w:val="none"/>
        </w:rPr>
        <w:t>离体人体</w:t>
      </w:r>
      <w:r>
        <w:rPr>
          <w:rFonts w:hint="eastAsia" w:ascii="Times New Roman" w:hAnsi="Times New Roman" w:cs="Times New Roman"/>
          <w:kern w:val="2"/>
          <w:highlight w:val="none"/>
        </w:rPr>
        <w:t>皮肤</w:t>
      </w:r>
      <w:r>
        <w:rPr>
          <w:rFonts w:ascii="Times New Roman" w:hAnsi="Times New Roman" w:cs="Times New Roman"/>
          <w:kern w:val="2"/>
          <w:highlight w:val="none"/>
        </w:rPr>
        <w:t>来源</w:t>
      </w:r>
      <w:r>
        <w:rPr>
          <w:rFonts w:hint="eastAsia" w:ascii="Times New Roman" w:hAnsi="Times New Roman" w:cs="Times New Roman"/>
          <w:kern w:val="2"/>
          <w:highlight w:val="none"/>
        </w:rPr>
        <w:t>较少</w:t>
      </w:r>
      <w:r>
        <w:rPr>
          <w:rFonts w:ascii="Times New Roman" w:hAnsi="Times New Roman" w:cs="Times New Roman"/>
          <w:kern w:val="2"/>
          <w:highlight w:val="none"/>
        </w:rPr>
        <w:t>，</w:t>
      </w:r>
      <w:r>
        <w:rPr>
          <w:rFonts w:hint="eastAsia" w:ascii="Times New Roman" w:hAnsi="Times New Roman" w:cs="Times New Roman"/>
          <w:kern w:val="2"/>
          <w:highlight w:val="none"/>
        </w:rPr>
        <w:t>难以大量应用在体外经皮吸收试验中</w:t>
      </w:r>
      <w:r>
        <w:rPr>
          <w:rFonts w:ascii="Times New Roman" w:hAnsi="Times New Roman" w:cs="Times New Roman"/>
          <w:kern w:val="2"/>
          <w:highlight w:val="none"/>
        </w:rPr>
        <w:t>。目前报道</w:t>
      </w:r>
      <w:r>
        <w:rPr>
          <w:rFonts w:hint="eastAsia" w:ascii="Times New Roman" w:hAnsi="Times New Roman" w:cs="Times New Roman"/>
          <w:kern w:val="2"/>
          <w:highlight w:val="none"/>
        </w:rPr>
        <w:t>中，应用到体外经皮吸收中的</w:t>
      </w:r>
      <w:r>
        <w:rPr>
          <w:rFonts w:ascii="Times New Roman" w:hAnsi="Times New Roman" w:cs="Times New Roman"/>
          <w:kern w:val="2"/>
          <w:highlight w:val="none"/>
        </w:rPr>
        <w:t>人工膜有皮肤平行人工膜渗透性测定模型（PAMPA），磷脂囊泡模型（PVPA），角质层取代物（SCS），Strat-M</w:t>
      </w:r>
      <w:r>
        <w:rPr>
          <w:rFonts w:ascii="Times New Roman" w:hAnsi="Times New Roman" w:cs="Times New Roman"/>
          <w:kern w:val="2"/>
          <w:highlight w:val="none"/>
          <w:vertAlign w:val="superscript"/>
        </w:rPr>
        <w:t>TM</w:t>
      </w:r>
      <w:r>
        <w:rPr>
          <w:rFonts w:ascii="Times New Roman" w:hAnsi="Times New Roman" w:cs="Times New Roman"/>
          <w:kern w:val="2"/>
          <w:highlight w:val="none"/>
        </w:rPr>
        <w:t>人工膜，纤维素膜，尼龙膜，透析膜，塔夫林微孔膜，硅氧烷膜等。根据相关研究表明，Strat-M</w:t>
      </w:r>
      <w:r>
        <w:rPr>
          <w:rFonts w:ascii="Times New Roman" w:hAnsi="Times New Roman" w:cs="Times New Roman"/>
          <w:kern w:val="2"/>
          <w:highlight w:val="none"/>
          <w:vertAlign w:val="superscript"/>
        </w:rPr>
        <w:t>TM</w:t>
      </w:r>
      <w:r>
        <w:rPr>
          <w:rFonts w:ascii="Times New Roman" w:hAnsi="Times New Roman" w:cs="Times New Roman"/>
          <w:kern w:val="2"/>
          <w:highlight w:val="none"/>
        </w:rPr>
        <w:t>人工膜与人体皮肤具有更好的相关性，渗透效果和人体皮肤效果相近，可以作为皮肤</w:t>
      </w:r>
      <w:r>
        <w:rPr>
          <w:rFonts w:hint="eastAsia" w:ascii="Times New Roman" w:hAnsi="Times New Roman" w:cs="Times New Roman"/>
          <w:kern w:val="2"/>
          <w:highlight w:val="none"/>
        </w:rPr>
        <w:t>吸收</w:t>
      </w:r>
      <w:r>
        <w:rPr>
          <w:rFonts w:ascii="Times New Roman" w:hAnsi="Times New Roman" w:cs="Times New Roman"/>
          <w:kern w:val="2"/>
          <w:highlight w:val="none"/>
        </w:rPr>
        <w:t>模型</w:t>
      </w:r>
      <w:r>
        <w:rPr>
          <w:rFonts w:hint="eastAsia" w:ascii="Times New Roman" w:hAnsi="Times New Roman" w:cs="Times New Roman"/>
          <w:kern w:val="2"/>
          <w:highlight w:val="none"/>
        </w:rPr>
        <w:t>，但难以同时进行渗透深度的研究</w:t>
      </w:r>
      <w:r>
        <w:rPr>
          <w:rFonts w:ascii="Times New Roman" w:hAnsi="Times New Roman" w:cs="Times New Roman"/>
          <w:kern w:val="2"/>
          <w:highlight w:val="none"/>
        </w:rPr>
        <w:t>。</w:t>
      </w:r>
    </w:p>
    <w:p w14:paraId="4471ACFA">
      <w:pPr>
        <w:pStyle w:val="9"/>
        <w:spacing w:before="0" w:beforeAutospacing="0" w:after="0" w:afterAutospacing="0" w:line="360" w:lineRule="auto"/>
        <w:ind w:firstLine="480" w:firstLineChars="200"/>
        <w:jc w:val="both"/>
        <w:rPr>
          <w:rFonts w:ascii="Times New Roman" w:hAnsi="Times New Roman" w:cs="Times New Roman"/>
          <w:kern w:val="2"/>
          <w:highlight w:val="none"/>
        </w:rPr>
      </w:pPr>
      <w:r>
        <w:rPr>
          <w:rFonts w:hint="eastAsia" w:ascii="Times New Roman" w:hAnsi="Times New Roman" w:cs="Times New Roman"/>
          <w:kern w:val="2"/>
          <w:highlight w:val="none"/>
        </w:rPr>
        <w:t>因此大部分</w:t>
      </w:r>
      <w:r>
        <w:rPr>
          <w:rFonts w:ascii="Times New Roman" w:hAnsi="Times New Roman" w:cs="Times New Roman"/>
          <w:kern w:val="2"/>
          <w:highlight w:val="none"/>
        </w:rPr>
        <w:t>实验中选择动物皮肤代替人体皮肤。不同种属、品系的动物，甚至同一动物不同解剖部位的皮肤结构均不相同，因此其皮肤通透性不同。各种属动物皮肤通透性顺序为：家兔&gt;大鼠&gt;豚鼠&gt;小型猪&gt;恒河猴&gt;人。在这些动物皮肤中，猪皮肤的渗透性与人体皮肤最为接近，猪的皮肤厚度与人体皮肤厚度相似且猪的体表面积大，可同时采集多个</w:t>
      </w:r>
      <w:r>
        <w:rPr>
          <w:rFonts w:hint="eastAsia" w:ascii="Times New Roman" w:hAnsi="Times New Roman" w:cs="Times New Roman"/>
          <w:kern w:val="2"/>
          <w:highlight w:val="none"/>
        </w:rPr>
        <w:t>样</w:t>
      </w:r>
      <w:r>
        <w:rPr>
          <w:rFonts w:ascii="Times New Roman" w:hAnsi="Times New Roman" w:cs="Times New Roman"/>
          <w:kern w:val="2"/>
          <w:highlight w:val="none"/>
        </w:rPr>
        <w:t>本</w:t>
      </w:r>
      <w:r>
        <w:rPr>
          <w:rFonts w:hint="eastAsia" w:ascii="Times New Roman" w:hAnsi="Times New Roman" w:cs="Times New Roman"/>
          <w:kern w:val="2"/>
          <w:highlight w:val="none"/>
        </w:rPr>
        <w:t>，相对于人工皮肤，使用猪皮肤成本更低且能获取渗透深度等信息</w:t>
      </w:r>
      <w:r>
        <w:rPr>
          <w:rFonts w:ascii="Times New Roman" w:hAnsi="Times New Roman" w:cs="Times New Roman"/>
          <w:kern w:val="2"/>
          <w:highlight w:val="none"/>
        </w:rPr>
        <w:t>。</w:t>
      </w:r>
    </w:p>
    <w:p w14:paraId="5805C1CB">
      <w:pPr>
        <w:spacing w:line="360" w:lineRule="auto"/>
        <w:ind w:firstLine="480" w:firstLineChars="200"/>
        <w:rPr>
          <w:rFonts w:ascii="Times New Roman" w:hAnsi="Times New Roman" w:eastAsia="宋体" w:cs="Times New Roman"/>
          <w:sz w:val="24"/>
          <w:highlight w:val="none"/>
        </w:rPr>
      </w:pPr>
      <w:r>
        <w:rPr>
          <w:rFonts w:ascii="Times New Roman" w:hAnsi="Times New Roman" w:eastAsia="宋体" w:cs="Times New Roman"/>
          <w:sz w:val="24"/>
          <w:highlight w:val="none"/>
        </w:rPr>
        <w:t>因此本标准制定的方案就是使用巴马小香猪猪皮的离体猪皮来进行。</w:t>
      </w:r>
    </w:p>
    <w:p w14:paraId="6FE873D1">
      <w:pPr>
        <w:spacing w:line="360" w:lineRule="auto"/>
        <w:outlineLvl w:val="2"/>
        <w:rPr>
          <w:rStyle w:val="33"/>
          <w:szCs w:val="22"/>
          <w:highlight w:val="none"/>
        </w:rPr>
      </w:pPr>
      <w:r>
        <w:rPr>
          <w:rStyle w:val="33"/>
          <w:szCs w:val="22"/>
          <w:highlight w:val="none"/>
        </w:rPr>
        <w:t>2.4.3 皮肤模型处理</w:t>
      </w:r>
    </w:p>
    <w:p w14:paraId="43B0086B">
      <w:pPr>
        <w:pStyle w:val="6"/>
        <w:spacing w:line="360" w:lineRule="auto"/>
        <w:ind w:firstLine="480" w:firstLineChars="200"/>
        <w:jc w:val="both"/>
        <w:rPr>
          <w:rFonts w:ascii="Times New Roman"/>
          <w:sz w:val="24"/>
          <w:highlight w:val="none"/>
        </w:rPr>
      </w:pPr>
      <w:bookmarkStart w:id="3" w:name="_Hlk148198688"/>
      <w:r>
        <w:rPr>
          <w:rFonts w:ascii="Times New Roman"/>
          <w:sz w:val="24"/>
          <w:highlight w:val="none"/>
        </w:rPr>
        <w:t>首先选用</w:t>
      </w:r>
      <w:r>
        <w:rPr>
          <w:rFonts w:hint="eastAsia" w:ascii="Times New Roman"/>
          <w:sz w:val="24"/>
          <w:highlight w:val="none"/>
        </w:rPr>
        <w:t>8周龄巴马小香猪猪皮</w:t>
      </w:r>
      <w:r>
        <w:rPr>
          <w:rFonts w:ascii="Times New Roman"/>
          <w:sz w:val="24"/>
          <w:highlight w:val="none"/>
        </w:rPr>
        <w:t>，保证皮肤无破损，</w:t>
      </w:r>
      <w:r>
        <w:rPr>
          <w:rFonts w:ascii="Times New Roman" w:hAnsi="Calibri" w:eastAsia="宋体" w:cs="Times New Roman"/>
          <w:sz w:val="24"/>
          <w:highlight w:val="none"/>
        </w:rPr>
        <w:t>将离体皮肤去掉肌肉和结缔组织，使用锡纸包</w:t>
      </w:r>
      <w:r>
        <w:rPr>
          <w:rFonts w:ascii="Times New Roman" w:eastAsia="宋体" w:cs="Times New Roman"/>
          <w:sz w:val="24"/>
          <w:highlight w:val="none"/>
        </w:rPr>
        <w:t>裹</w:t>
      </w:r>
      <w:r>
        <w:rPr>
          <w:rFonts w:ascii="Times New Roman" w:hAnsi="Calibri" w:eastAsia="宋体" w:cs="Times New Roman"/>
          <w:sz w:val="24"/>
          <w:highlight w:val="none"/>
        </w:rPr>
        <w:t>冻存于-20</w:t>
      </w:r>
      <w:r>
        <w:rPr>
          <w:rFonts w:hint="eastAsia" w:ascii="Times New Roman" w:hAnsi="Calibri" w:eastAsia="宋体" w:cs="Times New Roman"/>
          <w:sz w:val="24"/>
          <w:highlight w:val="none"/>
          <w:lang w:val="en-US" w:eastAsia="zh-CN"/>
        </w:rPr>
        <w:t xml:space="preserve"> </w:t>
      </w:r>
      <w:r>
        <w:rPr>
          <w:rFonts w:ascii="Times New Roman" w:hAnsi="Calibri" w:eastAsia="宋体" w:cs="Times New Roman"/>
          <w:sz w:val="24"/>
          <w:highlight w:val="none"/>
        </w:rPr>
        <w:t>℃冰箱，储存时间不超过1个月。实验当天从-20</w:t>
      </w:r>
      <w:r>
        <w:rPr>
          <w:rFonts w:hint="eastAsia" w:ascii="Times New Roman" w:hAnsi="Calibri" w:eastAsia="宋体" w:cs="Times New Roman"/>
          <w:sz w:val="24"/>
          <w:highlight w:val="none"/>
          <w:lang w:val="en-US" w:eastAsia="zh-CN"/>
        </w:rPr>
        <w:t xml:space="preserve"> </w:t>
      </w:r>
      <w:r>
        <w:rPr>
          <w:rFonts w:ascii="Times New Roman" w:hAnsi="Calibri" w:eastAsia="宋体" w:cs="Times New Roman"/>
          <w:sz w:val="24"/>
          <w:highlight w:val="none"/>
        </w:rPr>
        <w:t>℃冰箱取出猪皮，于</w:t>
      </w:r>
      <w:r>
        <w:rPr>
          <w:rFonts w:hint="eastAsia" w:ascii="Times New Roman" w:hAnsi="Calibri" w:eastAsia="宋体" w:cs="Times New Roman"/>
          <w:sz w:val="24"/>
          <w:highlight w:val="none"/>
          <w:lang w:val="en-US" w:eastAsia="zh-CN"/>
        </w:rPr>
        <w:t>一级水</w:t>
      </w:r>
      <w:r>
        <w:rPr>
          <w:rFonts w:ascii="Times New Roman" w:hAnsi="Calibri" w:eastAsia="宋体" w:cs="Times New Roman"/>
          <w:sz w:val="24"/>
          <w:highlight w:val="none"/>
        </w:rPr>
        <w:t>中在室温下解冻，取全厚度猪腹部皮肤（包含角质层、表皮层、真皮层），使用电动剃须刀将表面毛发剔除至</w:t>
      </w:r>
      <w:r>
        <w:rPr>
          <w:rFonts w:hint="eastAsia" w:ascii="Times New Roman"/>
          <w:highlight w:val="none"/>
        </w:rPr>
        <w:t>≤</w:t>
      </w:r>
      <w:r>
        <w:rPr>
          <w:rFonts w:ascii="Times New Roman" w:hAnsi="Calibri" w:eastAsia="宋体" w:cs="Times New Roman"/>
          <w:sz w:val="24"/>
          <w:highlight w:val="none"/>
        </w:rPr>
        <w:t>3 mm，使用手术刀小心刮去皮下脂肪，直到观察到真皮层的网状纤维（厚度约为1.0 mm），再使用</w:t>
      </w:r>
      <w:r>
        <w:rPr>
          <w:rFonts w:hint="eastAsia" w:ascii="Times New Roman" w:hAnsi="Calibri" w:eastAsia="宋体" w:cs="Times New Roman"/>
          <w:sz w:val="24"/>
          <w:highlight w:val="none"/>
          <w:lang w:val="en-US" w:eastAsia="zh-CN"/>
        </w:rPr>
        <w:t>一级水</w:t>
      </w:r>
      <w:r>
        <w:rPr>
          <w:rFonts w:ascii="Times New Roman" w:hAnsi="Calibri" w:eastAsia="宋体" w:cs="Times New Roman"/>
          <w:sz w:val="24"/>
          <w:highlight w:val="none"/>
        </w:rPr>
        <w:t>将处理好的皮肤冲洗干净，并用吸水纸擦干皮肤表面水分，然后将皮肤修剪成长</w:t>
      </w:r>
      <w:r>
        <w:rPr>
          <w:rFonts w:ascii="Times New Roman" w:eastAsia="宋体" w:cs="Times New Roman"/>
          <w:sz w:val="24"/>
          <w:highlight w:val="none"/>
        </w:rPr>
        <w:t>3</w:t>
      </w:r>
      <w:r>
        <w:rPr>
          <w:rFonts w:ascii="Times New Roman" w:hAnsi="Calibri" w:eastAsia="宋体" w:cs="Times New Roman"/>
          <w:sz w:val="24"/>
          <w:highlight w:val="none"/>
        </w:rPr>
        <w:t xml:space="preserve"> cm，宽3 cm</w:t>
      </w:r>
      <w:r>
        <w:rPr>
          <w:rFonts w:ascii="Times New Roman" w:eastAsia="宋体" w:cs="Times New Roman"/>
          <w:sz w:val="24"/>
          <w:highlight w:val="none"/>
        </w:rPr>
        <w:t>正</w:t>
      </w:r>
      <w:r>
        <w:rPr>
          <w:rFonts w:ascii="Times New Roman" w:hAnsi="Calibri" w:eastAsia="宋体" w:cs="Times New Roman"/>
          <w:sz w:val="24"/>
          <w:highlight w:val="none"/>
        </w:rPr>
        <w:t>方形。</w:t>
      </w:r>
      <w:r>
        <w:rPr>
          <w:rFonts w:ascii="Times New Roman"/>
          <w:sz w:val="24"/>
          <w:highlight w:val="none"/>
        </w:rPr>
        <w:t>以目视（看皮肤完整度）、和经皮水分流失量（＜15 g/m</w:t>
      </w:r>
      <w:r>
        <w:rPr>
          <w:rFonts w:ascii="Times New Roman"/>
          <w:sz w:val="24"/>
          <w:highlight w:val="none"/>
          <w:vertAlign w:val="superscript"/>
        </w:rPr>
        <w:t>2</w:t>
      </w:r>
      <w:r>
        <w:rPr>
          <w:rFonts w:ascii="Times New Roman"/>
          <w:sz w:val="24"/>
          <w:highlight w:val="none"/>
        </w:rPr>
        <w:t>h）等为指标，进行皮肤的功能完整性评价，选择功能完整性好的皮肤再进行后续试验上样等操作。</w:t>
      </w:r>
      <w:bookmarkEnd w:id="3"/>
      <w:bookmarkStart w:id="4" w:name="_Hlk148198732"/>
    </w:p>
    <w:bookmarkEnd w:id="4"/>
    <w:p w14:paraId="533FD580">
      <w:pPr>
        <w:spacing w:line="360" w:lineRule="auto"/>
        <w:outlineLvl w:val="2"/>
        <w:rPr>
          <w:rStyle w:val="33"/>
          <w:szCs w:val="22"/>
          <w:highlight w:val="none"/>
        </w:rPr>
      </w:pPr>
      <w:r>
        <w:rPr>
          <w:rStyle w:val="33"/>
          <w:szCs w:val="22"/>
          <w:highlight w:val="none"/>
        </w:rPr>
        <w:t>2.4.4 接收液的选择</w:t>
      </w:r>
    </w:p>
    <w:p w14:paraId="52EE672A">
      <w:pPr>
        <w:pStyle w:val="9"/>
        <w:numPr>
          <w:ilvl w:val="255"/>
          <w:numId w:val="0"/>
        </w:numPr>
        <w:spacing w:before="0" w:beforeAutospacing="0" w:after="0" w:afterAutospacing="0" w:line="360" w:lineRule="auto"/>
        <w:ind w:firstLine="480" w:firstLineChars="200"/>
        <w:rPr>
          <w:rFonts w:ascii="Times New Roman" w:hAnsi="Times New Roman" w:cs="Times New Roman"/>
          <w:kern w:val="2"/>
          <w:highlight w:val="none"/>
        </w:rPr>
      </w:pPr>
      <w:r>
        <w:rPr>
          <w:rFonts w:ascii="Times New Roman" w:hAnsi="Times New Roman" w:cs="Times New Roman"/>
          <w:kern w:val="2"/>
          <w:highlight w:val="none"/>
        </w:rPr>
        <w:t>根据</w:t>
      </w:r>
      <w:r>
        <w:rPr>
          <w:rFonts w:hint="eastAsia" w:ascii="Times New Roman" w:hAnsi="Times New Roman" w:cs="Times New Roman"/>
          <w:kern w:val="2"/>
          <w:highlight w:val="none"/>
        </w:rPr>
        <w:t>受试物</w:t>
      </w:r>
      <w:r>
        <w:rPr>
          <w:rFonts w:ascii="Times New Roman" w:hAnsi="Times New Roman" w:cs="Times New Roman"/>
          <w:kern w:val="2"/>
          <w:highlight w:val="none"/>
        </w:rPr>
        <w:t>的理化性质，选择对配方成分具有相容性并不会对配方成分稳定性产生影响的</w:t>
      </w:r>
      <w:r>
        <w:rPr>
          <w:rFonts w:hint="eastAsia" w:ascii="Times New Roman" w:hAnsi="Times New Roman" w:cs="Times New Roman"/>
          <w:kern w:val="2"/>
          <w:highlight w:val="none"/>
          <w:lang w:eastAsia="zh-CN"/>
        </w:rPr>
        <w:t>接收液</w:t>
      </w:r>
      <w:r>
        <w:rPr>
          <w:rFonts w:ascii="Times New Roman" w:hAnsi="Times New Roman" w:cs="Times New Roman"/>
          <w:kern w:val="2"/>
          <w:highlight w:val="none"/>
        </w:rPr>
        <w:t>。常用</w:t>
      </w:r>
      <w:r>
        <w:rPr>
          <w:rFonts w:hint="eastAsia" w:ascii="Times New Roman" w:hAnsi="Times New Roman" w:cs="Times New Roman"/>
          <w:kern w:val="2"/>
          <w:highlight w:val="none"/>
          <w:lang w:eastAsia="zh-CN"/>
        </w:rPr>
        <w:t>接收液</w:t>
      </w:r>
      <w:r>
        <w:rPr>
          <w:rFonts w:ascii="Times New Roman" w:hAnsi="Times New Roman" w:cs="Times New Roman"/>
          <w:kern w:val="2"/>
          <w:highlight w:val="none"/>
        </w:rPr>
        <w:t>有生理盐水或缓冲溶液；</w:t>
      </w:r>
      <w:r>
        <w:rPr>
          <w:rFonts w:hint="eastAsia" w:ascii="Times New Roman" w:hAnsi="Times New Roman" w:cs="Times New Roman"/>
          <w:kern w:val="2"/>
          <w:highlight w:val="none"/>
        </w:rPr>
        <w:t>对于</w:t>
      </w:r>
      <w:r>
        <w:rPr>
          <w:rFonts w:hint="eastAsia" w:ascii="Times New Roman" w:hAnsi="Times New Roman" w:cs="Times New Roman"/>
          <w:kern w:val="2"/>
          <w:highlight w:val="none"/>
          <w:lang w:val="en-US" w:eastAsia="zh-CN"/>
        </w:rPr>
        <w:t>亲脂</w:t>
      </w:r>
      <w:r>
        <w:rPr>
          <w:rFonts w:ascii="Times New Roman" w:hAnsi="Times New Roman" w:cs="Times New Roman"/>
          <w:kern w:val="2"/>
          <w:highlight w:val="none"/>
        </w:rPr>
        <w:t>性化合物，可在</w:t>
      </w:r>
      <w:r>
        <w:rPr>
          <w:rFonts w:hint="eastAsia" w:ascii="Times New Roman" w:hAnsi="Times New Roman" w:cs="Times New Roman"/>
          <w:kern w:val="2"/>
          <w:highlight w:val="none"/>
          <w:lang w:eastAsia="zh-CN"/>
        </w:rPr>
        <w:t>接收液</w:t>
      </w:r>
      <w:r>
        <w:rPr>
          <w:rFonts w:ascii="Times New Roman" w:hAnsi="Times New Roman" w:cs="Times New Roman"/>
          <w:kern w:val="2"/>
          <w:highlight w:val="none"/>
        </w:rPr>
        <w:t>中加入一些渗透促进剂，但需保证</w:t>
      </w:r>
      <w:r>
        <w:rPr>
          <w:rFonts w:hint="eastAsia" w:ascii="Times New Roman" w:hAnsi="Times New Roman" w:cs="Times New Roman"/>
          <w:kern w:val="2"/>
          <w:highlight w:val="none"/>
        </w:rPr>
        <w:t>溶解度和稳定性</w:t>
      </w:r>
      <w:r>
        <w:rPr>
          <w:rFonts w:ascii="Times New Roman" w:hAnsi="Times New Roman" w:cs="Times New Roman"/>
          <w:kern w:val="2"/>
          <w:highlight w:val="none"/>
        </w:rPr>
        <w:t>。</w:t>
      </w:r>
    </w:p>
    <w:p w14:paraId="1EF8A408">
      <w:pPr>
        <w:pStyle w:val="9"/>
        <w:numPr>
          <w:ilvl w:val="255"/>
          <w:numId w:val="0"/>
        </w:numPr>
        <w:spacing w:before="0" w:beforeAutospacing="0" w:after="0" w:afterAutospacing="0" w:line="360" w:lineRule="auto"/>
        <w:ind w:firstLine="480" w:firstLineChars="200"/>
        <w:rPr>
          <w:rFonts w:hint="eastAsia" w:ascii="Times New Roman"/>
          <w:highlight w:val="none"/>
        </w:rPr>
      </w:pPr>
      <w:r>
        <w:rPr>
          <w:rFonts w:hint="eastAsia" w:ascii="Times New Roman"/>
          <w:highlight w:val="none"/>
        </w:rPr>
        <w:t>应详细了解受试物物理化学性质（分子量、LogP值、溶解性等），对于缺乏证据表明具备较好水溶性的受试物或</w:t>
      </w:r>
      <w:r>
        <w:rPr>
          <w:rFonts w:hint="eastAsia" w:ascii="Times New Roman"/>
          <w:highlight w:val="none"/>
          <w:lang w:val="en-US" w:eastAsia="zh-CN"/>
        </w:rPr>
        <w:t>亲脂</w:t>
      </w:r>
      <w:r>
        <w:rPr>
          <w:rFonts w:hint="eastAsia" w:ascii="Times New Roman"/>
          <w:highlight w:val="none"/>
        </w:rPr>
        <w:t>性</w:t>
      </w:r>
      <w:r>
        <w:rPr>
          <w:rFonts w:hint="eastAsia" w:ascii="Times New Roman"/>
          <w:highlight w:val="none"/>
          <w:lang w:val="en-US" w:eastAsia="zh-CN"/>
        </w:rPr>
        <w:t>受试</w:t>
      </w:r>
      <w:r>
        <w:rPr>
          <w:rFonts w:hint="eastAsia" w:ascii="Times New Roman"/>
          <w:highlight w:val="none"/>
        </w:rPr>
        <w:t>物要充分考察其在接收</w:t>
      </w:r>
      <w:r>
        <w:rPr>
          <w:rFonts w:hint="eastAsia" w:ascii="Times New Roman"/>
          <w:highlight w:val="none"/>
          <w:lang w:val="en-US" w:eastAsia="zh-CN"/>
        </w:rPr>
        <w:t>液</w:t>
      </w:r>
      <w:r>
        <w:rPr>
          <w:rFonts w:hint="eastAsia" w:ascii="Times New Roman"/>
          <w:highlight w:val="none"/>
        </w:rPr>
        <w:t>中的溶解性。将受试物添加至接收液直至饱和或达到足够高的浓度后，测定溶液中受试物浓度，判断接收液对受试物的溶解度是否满足实验需求。接收液中受试物的量在整个试验过程中不应超过饱和浓度的10%，以减小对受试物自由扩散的干扰。</w:t>
      </w:r>
    </w:p>
    <w:p w14:paraId="43B97E5A">
      <w:pPr>
        <w:pStyle w:val="19"/>
        <w:spacing w:line="360" w:lineRule="auto"/>
        <w:ind w:firstLine="420" w:firstLineChars="0"/>
        <w:rPr>
          <w:rFonts w:ascii="Times New Roman"/>
          <w:highlight w:val="none"/>
        </w:rPr>
      </w:pPr>
      <w:r>
        <w:rPr>
          <w:rFonts w:hint="eastAsia" w:ascii="Times New Roman" w:hAnsi="宋体" w:cs="宋体"/>
          <w:sz w:val="24"/>
          <w:szCs w:val="24"/>
          <w:highlight w:val="none"/>
        </w:rPr>
        <w:t>使用接收</w:t>
      </w:r>
      <w:r>
        <w:rPr>
          <w:rFonts w:hint="eastAsia" w:ascii="Times New Roman" w:hAnsi="宋体" w:cs="宋体"/>
          <w:sz w:val="24"/>
          <w:szCs w:val="24"/>
          <w:highlight w:val="none"/>
          <w:lang w:val="en-US" w:eastAsia="zh-CN"/>
        </w:rPr>
        <w:t>液</w:t>
      </w:r>
      <w:r>
        <w:rPr>
          <w:rFonts w:hint="eastAsia" w:ascii="Times New Roman" w:hAnsi="宋体" w:cs="宋体"/>
          <w:sz w:val="24"/>
          <w:szCs w:val="24"/>
          <w:highlight w:val="none"/>
        </w:rPr>
        <w:t>配制高浓度和低浓度受试物溶液，</w:t>
      </w:r>
      <w:r>
        <w:rPr>
          <w:rFonts w:hint="eastAsia" w:ascii="Times New Roman"/>
          <w:sz w:val="24"/>
          <w:szCs w:val="24"/>
          <w:highlight w:val="none"/>
        </w:rPr>
        <w:t>于32</w:t>
      </w:r>
      <w:r>
        <w:rPr>
          <w:rFonts w:hint="eastAsia" w:ascii="Times New Roman"/>
          <w:sz w:val="24"/>
          <w:szCs w:val="24"/>
          <w:highlight w:val="none"/>
          <w:lang w:val="en-US" w:eastAsia="zh-CN"/>
        </w:rPr>
        <w:t xml:space="preserve"> </w:t>
      </w:r>
      <w:r>
        <w:rPr>
          <w:rFonts w:hint="eastAsia" w:ascii="Times New Roman"/>
          <w:sz w:val="24"/>
          <w:szCs w:val="24"/>
          <w:highlight w:val="none"/>
        </w:rPr>
        <w:t>℃</w:t>
      </w:r>
      <w:r>
        <w:rPr>
          <w:rFonts w:hint="eastAsia" w:ascii="Times New Roman" w:hAnsi="宋体" w:cs="宋体"/>
          <w:sz w:val="24"/>
          <w:szCs w:val="24"/>
          <w:highlight w:val="none"/>
        </w:rPr>
        <w:t>储存0h、2h、4h、8h、24h、48h，同新配制的同一浓度标液一同测定，考察试验条件下受试物在接收</w:t>
      </w:r>
      <w:r>
        <w:rPr>
          <w:rFonts w:hint="eastAsia" w:ascii="Times New Roman" w:hAnsi="宋体" w:cs="宋体"/>
          <w:sz w:val="24"/>
          <w:szCs w:val="24"/>
          <w:highlight w:val="none"/>
          <w:lang w:val="en-US" w:eastAsia="zh-CN"/>
        </w:rPr>
        <w:t>液</w:t>
      </w:r>
      <w:r>
        <w:rPr>
          <w:rFonts w:hint="eastAsia" w:ascii="Times New Roman" w:hAnsi="宋体" w:cs="宋体"/>
          <w:sz w:val="24"/>
          <w:szCs w:val="24"/>
          <w:highlight w:val="none"/>
        </w:rPr>
        <w:t>中的稳定性。</w:t>
      </w:r>
    </w:p>
    <w:p w14:paraId="3E312C6B">
      <w:pPr>
        <w:spacing w:line="360" w:lineRule="auto"/>
        <w:outlineLvl w:val="2"/>
        <w:rPr>
          <w:rStyle w:val="33"/>
          <w:rFonts w:cs="Times New Roman"/>
          <w:kern w:val="0"/>
          <w:szCs w:val="22"/>
          <w:highlight w:val="none"/>
        </w:rPr>
      </w:pPr>
      <w:r>
        <w:rPr>
          <w:rStyle w:val="33"/>
          <w:szCs w:val="22"/>
          <w:highlight w:val="none"/>
        </w:rPr>
        <w:t>2.4.5 上样量的确定</w:t>
      </w:r>
    </w:p>
    <w:p w14:paraId="35FBCA43">
      <w:pPr>
        <w:pStyle w:val="9"/>
        <w:numPr>
          <w:ilvl w:val="-1"/>
          <w:numId w:val="0"/>
        </w:numPr>
        <w:spacing w:before="0" w:beforeAutospacing="0" w:after="0" w:afterAutospacing="0" w:line="360" w:lineRule="auto"/>
        <w:ind w:firstLine="480" w:firstLineChars="200"/>
        <w:jc w:val="left"/>
        <w:rPr>
          <w:rFonts w:ascii="Times New Roman" w:hAnsi="Times New Roman" w:cs="Times New Roman"/>
          <w:kern w:val="2"/>
          <w:highlight w:val="none"/>
        </w:rPr>
      </w:pPr>
      <w:r>
        <w:rPr>
          <w:rFonts w:hint="eastAsia" w:ascii="Times New Roman" w:hAnsi="Times New Roman" w:cs="Times New Roman"/>
          <w:kern w:val="2"/>
          <w:highlight w:val="none"/>
        </w:rPr>
        <w:t>可以根据试验需求选择有限量剂量或无限量剂量</w:t>
      </w:r>
      <w:r>
        <w:rPr>
          <w:rFonts w:hint="eastAsia" w:ascii="Times New Roman" w:hAnsi="Times New Roman" w:cs="Times New Roman"/>
          <w:kern w:val="2"/>
          <w:highlight w:val="none"/>
          <w:lang w:val="en-US" w:eastAsia="zh-CN"/>
        </w:rPr>
        <w:t>受试物</w:t>
      </w:r>
      <w:r>
        <w:rPr>
          <w:rFonts w:hint="eastAsia" w:ascii="Times New Roman" w:hAnsi="Times New Roman" w:cs="Times New Roman"/>
          <w:kern w:val="2"/>
          <w:highlight w:val="none"/>
        </w:rPr>
        <w:t>进行上样，当受试物为固体、半固体，其有限剂量应不超过10 mg/cm</w:t>
      </w:r>
      <w:r>
        <w:rPr>
          <w:rFonts w:hint="eastAsia" w:ascii="Times New Roman" w:hAnsi="Times New Roman" w:cs="Times New Roman"/>
          <w:kern w:val="2"/>
          <w:highlight w:val="none"/>
          <w:vertAlign w:val="superscript"/>
        </w:rPr>
        <w:t>2</w:t>
      </w:r>
      <w:r>
        <w:rPr>
          <w:rFonts w:hint="eastAsia" w:ascii="Times New Roman" w:hAnsi="Times New Roman" w:cs="Times New Roman"/>
          <w:kern w:val="2"/>
          <w:highlight w:val="none"/>
        </w:rPr>
        <w:t>，无限剂量可使用超过10 mg/cm</w:t>
      </w:r>
      <w:r>
        <w:rPr>
          <w:rFonts w:hint="eastAsia" w:ascii="Times New Roman" w:hAnsi="Times New Roman" w:cs="Times New Roman"/>
          <w:kern w:val="2"/>
          <w:highlight w:val="none"/>
          <w:vertAlign w:val="superscript"/>
        </w:rPr>
        <w:t>2</w:t>
      </w:r>
      <w:r>
        <w:rPr>
          <w:rFonts w:hint="eastAsia" w:ascii="Times New Roman" w:hAnsi="Times New Roman" w:cs="Times New Roman"/>
          <w:kern w:val="2"/>
          <w:highlight w:val="none"/>
        </w:rPr>
        <w:t>；当受试物为液体制剂，其有限剂量应不超过10 μL/cm</w:t>
      </w:r>
      <w:bookmarkStart w:id="6" w:name="_GoBack"/>
      <w:r>
        <w:rPr>
          <w:rFonts w:hint="eastAsia" w:ascii="Times New Roman" w:hAnsi="Times New Roman" w:cs="Times New Roman"/>
          <w:kern w:val="2"/>
          <w:highlight w:val="none"/>
          <w:vertAlign w:val="superscript"/>
        </w:rPr>
        <w:t>2</w:t>
      </w:r>
      <w:bookmarkEnd w:id="6"/>
      <w:r>
        <w:rPr>
          <w:rFonts w:hint="eastAsia" w:ascii="Times New Roman" w:hAnsi="Times New Roman" w:cs="Times New Roman"/>
          <w:kern w:val="2"/>
          <w:highlight w:val="none"/>
        </w:rPr>
        <w:t>，无限剂量可使用超过100 μL/cm</w:t>
      </w:r>
      <w:r>
        <w:rPr>
          <w:rFonts w:hint="eastAsia" w:ascii="Times New Roman" w:hAnsi="Times New Roman" w:cs="Times New Roman"/>
          <w:kern w:val="2"/>
          <w:highlight w:val="none"/>
          <w:vertAlign w:val="superscript"/>
        </w:rPr>
        <w:t>2</w:t>
      </w:r>
      <w:r>
        <w:rPr>
          <w:rFonts w:hint="eastAsia" w:ascii="Times New Roman" w:hAnsi="Times New Roman" w:cs="Times New Roman"/>
          <w:kern w:val="2"/>
          <w:highlight w:val="none"/>
        </w:rPr>
        <w:t>。</w:t>
      </w:r>
    </w:p>
    <w:p w14:paraId="178B3D57">
      <w:pPr>
        <w:spacing w:line="360" w:lineRule="auto"/>
        <w:outlineLvl w:val="2"/>
        <w:rPr>
          <w:rStyle w:val="33"/>
          <w:rFonts w:cs="宋体"/>
          <w:kern w:val="0"/>
          <w:szCs w:val="22"/>
          <w:highlight w:val="none"/>
        </w:rPr>
      </w:pPr>
      <w:r>
        <w:rPr>
          <w:rStyle w:val="33"/>
          <w:szCs w:val="22"/>
          <w:highlight w:val="none"/>
        </w:rPr>
        <w:t>2.4.6 试验时间及取样时间点</w:t>
      </w:r>
    </w:p>
    <w:p w14:paraId="53BCF3A4">
      <w:pPr>
        <w:pStyle w:val="9"/>
        <w:spacing w:before="0" w:beforeAutospacing="0" w:after="0" w:afterAutospacing="0" w:line="360" w:lineRule="auto"/>
        <w:ind w:firstLine="480" w:firstLineChars="200"/>
        <w:rPr>
          <w:rFonts w:ascii="Times New Roman" w:hAnsi="Times New Roman" w:cs="Times New Roman"/>
          <w:kern w:val="2"/>
          <w:highlight w:val="none"/>
        </w:rPr>
      </w:pPr>
      <w:r>
        <w:rPr>
          <w:rFonts w:hint="eastAsia" w:ascii="Times New Roman" w:hAnsi="Times New Roman" w:cs="Times New Roman"/>
          <w:kern w:val="2"/>
          <w:highlight w:val="none"/>
        </w:rPr>
        <w:t>吸取接收液应控制每次取样体积保持一致</w:t>
      </w:r>
      <w:r>
        <w:rPr>
          <w:rFonts w:ascii="Times New Roman" w:hAnsi="Times New Roman" w:cs="Times New Roman"/>
          <w:kern w:val="2"/>
          <w:highlight w:val="none"/>
        </w:rPr>
        <w:t>，</w:t>
      </w:r>
      <w:r>
        <w:rPr>
          <w:rFonts w:hint="eastAsia" w:ascii="Times New Roman" w:hAnsi="Times New Roman" w:cs="Times New Roman"/>
          <w:kern w:val="2"/>
          <w:highlight w:val="none"/>
        </w:rPr>
        <w:t>并应在转子周围进行取样，取样后</w:t>
      </w:r>
      <w:r>
        <w:rPr>
          <w:rFonts w:ascii="Times New Roman" w:hAnsi="Times New Roman" w:cs="Times New Roman"/>
          <w:kern w:val="2"/>
          <w:highlight w:val="none"/>
        </w:rPr>
        <w:t>补足同等体积等温的空白接收液，取样过程需避免带入气泡。</w:t>
      </w:r>
      <w:r>
        <w:rPr>
          <w:rFonts w:hint="eastAsia" w:ascii="Times New Roman" w:hAnsi="Times New Roman" w:cs="Times New Roman"/>
          <w:kern w:val="2"/>
          <w:highlight w:val="none"/>
        </w:rPr>
        <w:t>整个试验过程一般不超过24h，并且</w:t>
      </w:r>
      <w:r>
        <w:rPr>
          <w:rFonts w:ascii="Times New Roman" w:hAnsi="Times New Roman" w:cs="Times New Roman"/>
          <w:kern w:val="2"/>
          <w:highlight w:val="none"/>
        </w:rPr>
        <w:t>采样时间点不得少于</w:t>
      </w:r>
      <w:r>
        <w:rPr>
          <w:rFonts w:hint="eastAsia" w:ascii="Times New Roman" w:hAnsi="Times New Roman" w:cs="Times New Roman"/>
          <w:kern w:val="2"/>
          <w:highlight w:val="none"/>
        </w:rPr>
        <w:t>6</w:t>
      </w:r>
      <w:r>
        <w:rPr>
          <w:rFonts w:ascii="Times New Roman" w:hAnsi="Times New Roman" w:cs="Times New Roman"/>
          <w:kern w:val="2"/>
          <w:highlight w:val="none"/>
        </w:rPr>
        <w:t>个</w:t>
      </w:r>
      <w:r>
        <w:rPr>
          <w:rFonts w:hint="eastAsia" w:ascii="Times New Roman" w:hAnsi="Times New Roman" w:cs="Times New Roman"/>
          <w:kern w:val="2"/>
          <w:highlight w:val="none"/>
        </w:rPr>
        <w:t>，试验时长可根据具体情况进行延长</w:t>
      </w:r>
      <w:r>
        <w:rPr>
          <w:rFonts w:ascii="Times New Roman" w:hAnsi="Times New Roman" w:cs="Times New Roman"/>
          <w:kern w:val="2"/>
          <w:highlight w:val="none"/>
        </w:rPr>
        <w:t>。</w:t>
      </w:r>
    </w:p>
    <w:p w14:paraId="12DBCDE5">
      <w:pPr>
        <w:pStyle w:val="2"/>
        <w:numPr>
          <w:ilvl w:val="0"/>
          <w:numId w:val="3"/>
        </w:numPr>
        <w:rPr>
          <w:highlight w:val="none"/>
        </w:rPr>
      </w:pPr>
      <w:r>
        <w:rPr>
          <w:rFonts w:hint="eastAsia"/>
          <w:highlight w:val="none"/>
        </w:rPr>
        <w:t>验证试验</w:t>
      </w:r>
    </w:p>
    <w:p w14:paraId="15769293">
      <w:pPr>
        <w:spacing w:line="360" w:lineRule="auto"/>
        <w:ind w:firstLine="480" w:firstLineChars="200"/>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为验证方法的科学性、稳定性及可重复性，组织3家验证机构对方法进行了试验验证，其中实验室A为广州质量监督检测研究院，实验室B深圳杉海创新技术有限公司，实验室C为广州药科大学。</w:t>
      </w:r>
    </w:p>
    <w:p w14:paraId="00E1D6B7">
      <w:pPr>
        <w:pStyle w:val="3"/>
        <w:rPr>
          <w:highlight w:val="none"/>
        </w:rPr>
      </w:pPr>
      <w:r>
        <w:rPr>
          <w:rFonts w:hint="eastAsia"/>
          <w:highlight w:val="none"/>
        </w:rPr>
        <w:t>3.1 验证实验设计及</w:t>
      </w:r>
      <w:r>
        <w:rPr>
          <w:rFonts w:hint="default"/>
          <w:highlight w:val="none"/>
          <w:lang w:val="en-US"/>
        </w:rPr>
        <w:t>样品</w:t>
      </w:r>
      <w:r>
        <w:rPr>
          <w:rFonts w:hint="eastAsia"/>
          <w:highlight w:val="none"/>
        </w:rPr>
        <w:t>征集情况</w:t>
      </w:r>
    </w:p>
    <w:p w14:paraId="72F6DEA1">
      <w:pPr>
        <w:widowControl/>
        <w:spacing w:line="360" w:lineRule="auto"/>
        <w:outlineLvl w:val="2"/>
        <w:rPr>
          <w:rStyle w:val="33"/>
          <w:rFonts w:cs="Times New Roman"/>
          <w:highlight w:val="none"/>
        </w:rPr>
      </w:pPr>
      <w:r>
        <w:rPr>
          <w:rStyle w:val="33"/>
          <w:rFonts w:cs="Times New Roman"/>
          <w:highlight w:val="none"/>
        </w:rPr>
        <w:t>3.1.1 实验室要求</w:t>
      </w:r>
    </w:p>
    <w:p w14:paraId="03C7B084">
      <w:pPr>
        <w:spacing w:line="360" w:lineRule="auto"/>
        <w:ind w:firstLine="480" w:firstLineChars="200"/>
        <w:rPr>
          <w:sz w:val="24"/>
          <w:highlight w:val="none"/>
        </w:rPr>
      </w:pPr>
      <w:r>
        <w:rPr>
          <w:rFonts w:ascii="Times New Roman" w:hAnsi="Times New Roman" w:eastAsia="宋体" w:cs="Times New Roman"/>
          <w:sz w:val="24"/>
          <w:highlight w:val="none"/>
        </w:rPr>
        <w:t>本方法为实验室试验，比对实验室应为具有Franz扩散池法</w:t>
      </w:r>
      <w:r>
        <w:rPr>
          <w:rFonts w:hint="eastAsia" w:ascii="Times New Roman" w:hAnsi="Times New Roman" w:eastAsia="宋体" w:cs="Times New Roman"/>
          <w:sz w:val="24"/>
          <w:highlight w:val="none"/>
        </w:rPr>
        <w:t>所需的实验环境、检测设备</w:t>
      </w:r>
      <w:r>
        <w:rPr>
          <w:rFonts w:hint="eastAsia"/>
          <w:sz w:val="24"/>
          <w:highlight w:val="none"/>
        </w:rPr>
        <w:t>，具有可以使用和操作上述仪器，具有一定的实验室基础操作知识的专业技术人员的实验室。</w:t>
      </w:r>
    </w:p>
    <w:p w14:paraId="1ECB77DF">
      <w:pPr>
        <w:widowControl/>
        <w:spacing w:line="360" w:lineRule="auto"/>
        <w:outlineLvl w:val="2"/>
        <w:rPr>
          <w:rStyle w:val="33"/>
          <w:rFonts w:cs="Times New Roman"/>
          <w:szCs w:val="22"/>
          <w:highlight w:val="none"/>
        </w:rPr>
      </w:pPr>
      <w:r>
        <w:rPr>
          <w:rStyle w:val="33"/>
          <w:rFonts w:cs="Times New Roman"/>
          <w:szCs w:val="22"/>
          <w:highlight w:val="none"/>
        </w:rPr>
        <w:t>3.1.2 比对样品</w:t>
      </w:r>
    </w:p>
    <w:p w14:paraId="7EC25729">
      <w:pPr>
        <w:widowControl/>
        <w:spacing w:line="360" w:lineRule="auto"/>
        <w:ind w:firstLine="480" w:firstLineChars="200"/>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样品信息见表1。</w:t>
      </w:r>
    </w:p>
    <w:p w14:paraId="0096C618">
      <w:pPr>
        <w:widowControl/>
        <w:spacing w:line="360" w:lineRule="auto"/>
        <w:ind w:firstLine="480" w:firstLineChars="200"/>
        <w:jc w:val="center"/>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表1 样品情况</w:t>
      </w:r>
    </w:p>
    <w:tbl>
      <w:tblPr>
        <w:tblStyle w:val="11"/>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885"/>
        <w:gridCol w:w="2425"/>
        <w:gridCol w:w="2075"/>
        <w:gridCol w:w="782"/>
        <w:gridCol w:w="942"/>
      </w:tblGrid>
      <w:tr w14:paraId="2427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Align w:val="center"/>
          </w:tcPr>
          <w:p w14:paraId="333A467C">
            <w:pPr>
              <w:jc w:val="center"/>
              <w:rPr>
                <w:rFonts w:ascii="Times New Roman" w:hAnsi="Times New Roman"/>
                <w:kern w:val="0"/>
                <w:szCs w:val="21"/>
                <w:highlight w:val="none"/>
              </w:rPr>
            </w:pPr>
            <w:r>
              <w:rPr>
                <w:rFonts w:hint="eastAsia" w:ascii="Times New Roman" w:hAnsi="Times New Roman"/>
                <w:kern w:val="0"/>
                <w:szCs w:val="21"/>
                <w:highlight w:val="none"/>
              </w:rPr>
              <w:t>序号</w:t>
            </w:r>
          </w:p>
        </w:tc>
        <w:tc>
          <w:tcPr>
            <w:tcW w:w="885" w:type="dxa"/>
            <w:vAlign w:val="center"/>
          </w:tcPr>
          <w:p w14:paraId="5DAECCA0">
            <w:pPr>
              <w:jc w:val="center"/>
              <w:rPr>
                <w:rFonts w:ascii="Times New Roman" w:hAnsi="Times New Roman" w:eastAsia="宋体"/>
                <w:kern w:val="0"/>
                <w:szCs w:val="21"/>
                <w:highlight w:val="none"/>
              </w:rPr>
            </w:pPr>
            <w:r>
              <w:rPr>
                <w:rFonts w:hint="eastAsia" w:ascii="Times New Roman" w:hAnsi="Times New Roman"/>
                <w:kern w:val="0"/>
                <w:szCs w:val="21"/>
                <w:highlight w:val="none"/>
              </w:rPr>
              <w:t>样品类型</w:t>
            </w:r>
          </w:p>
        </w:tc>
        <w:tc>
          <w:tcPr>
            <w:tcW w:w="2425" w:type="dxa"/>
            <w:vAlign w:val="center"/>
          </w:tcPr>
          <w:p w14:paraId="15ED09B4">
            <w:pPr>
              <w:jc w:val="center"/>
              <w:rPr>
                <w:rFonts w:ascii="Times New Roman" w:hAnsi="Times New Roman"/>
                <w:kern w:val="0"/>
                <w:szCs w:val="21"/>
                <w:highlight w:val="none"/>
              </w:rPr>
            </w:pPr>
            <w:r>
              <w:rPr>
                <w:rFonts w:hint="eastAsia" w:ascii="Times New Roman" w:hAnsi="Times New Roman"/>
                <w:kern w:val="0"/>
                <w:szCs w:val="21"/>
                <w:highlight w:val="none"/>
              </w:rPr>
              <w:t>测试成分</w:t>
            </w:r>
          </w:p>
        </w:tc>
        <w:tc>
          <w:tcPr>
            <w:tcW w:w="2075" w:type="dxa"/>
          </w:tcPr>
          <w:p w14:paraId="419A0C04">
            <w:pPr>
              <w:rPr>
                <w:rFonts w:ascii="Times New Roman" w:hAnsi="Times New Roman"/>
                <w:kern w:val="0"/>
                <w:szCs w:val="21"/>
                <w:highlight w:val="none"/>
              </w:rPr>
            </w:pPr>
            <w:r>
              <w:rPr>
                <w:rFonts w:hint="eastAsia" w:ascii="Times New Roman" w:hAnsi="Times New Roman"/>
                <w:kern w:val="0"/>
                <w:szCs w:val="21"/>
                <w:highlight w:val="none"/>
              </w:rPr>
              <w:t>检测方法</w:t>
            </w:r>
          </w:p>
        </w:tc>
        <w:tc>
          <w:tcPr>
            <w:tcW w:w="782" w:type="dxa"/>
            <w:vAlign w:val="center"/>
          </w:tcPr>
          <w:p w14:paraId="4DCBD62F">
            <w:pPr>
              <w:jc w:val="center"/>
              <w:rPr>
                <w:rFonts w:ascii="Times New Roman" w:hAnsi="Times New Roman"/>
                <w:kern w:val="0"/>
                <w:szCs w:val="21"/>
                <w:highlight w:val="none"/>
              </w:rPr>
            </w:pPr>
            <w:r>
              <w:rPr>
                <w:rFonts w:hint="eastAsia" w:ascii="Times New Roman" w:hAnsi="Times New Roman"/>
                <w:kern w:val="0"/>
                <w:szCs w:val="21"/>
                <w:highlight w:val="none"/>
              </w:rPr>
              <w:t>规格</w:t>
            </w:r>
          </w:p>
        </w:tc>
        <w:tc>
          <w:tcPr>
            <w:tcW w:w="942" w:type="dxa"/>
            <w:vAlign w:val="center"/>
          </w:tcPr>
          <w:p w14:paraId="1FE4B606">
            <w:pPr>
              <w:jc w:val="center"/>
              <w:rPr>
                <w:rFonts w:ascii="Times New Roman" w:hAnsi="Times New Roman"/>
                <w:kern w:val="0"/>
                <w:szCs w:val="20"/>
                <w:highlight w:val="none"/>
              </w:rPr>
            </w:pPr>
            <w:r>
              <w:rPr>
                <w:rFonts w:hint="eastAsia" w:ascii="Times New Roman" w:hAnsi="Times New Roman"/>
                <w:kern w:val="0"/>
                <w:szCs w:val="20"/>
                <w:highlight w:val="none"/>
              </w:rPr>
              <w:t>样品储存条件</w:t>
            </w:r>
          </w:p>
        </w:tc>
      </w:tr>
      <w:tr w14:paraId="242D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Align w:val="center"/>
          </w:tcPr>
          <w:p w14:paraId="2358B2B9">
            <w:pPr>
              <w:jc w:val="center"/>
              <w:rPr>
                <w:rFonts w:ascii="Times New Roman" w:hAnsi="Times New Roman"/>
                <w:kern w:val="0"/>
                <w:szCs w:val="21"/>
                <w:highlight w:val="none"/>
              </w:rPr>
            </w:pPr>
            <w:r>
              <w:rPr>
                <w:rFonts w:ascii="Times New Roman" w:hAnsi="Times New Roman"/>
                <w:kern w:val="0"/>
                <w:szCs w:val="21"/>
                <w:highlight w:val="none"/>
              </w:rPr>
              <w:t>1</w:t>
            </w:r>
          </w:p>
        </w:tc>
        <w:tc>
          <w:tcPr>
            <w:tcW w:w="885" w:type="dxa"/>
            <w:vAlign w:val="center"/>
          </w:tcPr>
          <w:p w14:paraId="1CCD1DE1">
            <w:pPr>
              <w:rPr>
                <w:rFonts w:ascii="Times New Roman" w:hAnsi="Times New Roman"/>
                <w:kern w:val="0"/>
                <w:szCs w:val="21"/>
                <w:highlight w:val="none"/>
              </w:rPr>
            </w:pPr>
            <w:r>
              <w:rPr>
                <w:rFonts w:hint="eastAsia" w:ascii="Times New Roman" w:hAnsi="Times New Roman"/>
                <w:kern w:val="0"/>
                <w:szCs w:val="21"/>
                <w:highlight w:val="none"/>
              </w:rPr>
              <w:t xml:space="preserve">非促渗体系 </w:t>
            </w:r>
          </w:p>
        </w:tc>
        <w:tc>
          <w:tcPr>
            <w:tcW w:w="2425" w:type="dxa"/>
            <w:vMerge w:val="restart"/>
            <w:vAlign w:val="center"/>
          </w:tcPr>
          <w:p w14:paraId="03FFFCD6">
            <w:pPr>
              <w:jc w:val="center"/>
              <w:rPr>
                <w:rFonts w:ascii="Times New Roman" w:hAnsi="Times New Roman"/>
                <w:kern w:val="0"/>
                <w:szCs w:val="21"/>
                <w:highlight w:val="none"/>
              </w:rPr>
            </w:pPr>
            <w:r>
              <w:rPr>
                <w:rFonts w:ascii="Times New Roman" w:hAnsi="Times New Roman"/>
                <w:kern w:val="0"/>
                <w:szCs w:val="21"/>
                <w:highlight w:val="none"/>
              </w:rPr>
              <w:t>5%</w:t>
            </w:r>
            <w:r>
              <w:rPr>
                <w:rFonts w:hint="eastAsia" w:ascii="Times New Roman" w:hAnsi="Times New Roman"/>
                <w:kern w:val="0"/>
                <w:szCs w:val="21"/>
                <w:highlight w:val="none"/>
              </w:rPr>
              <w:t>烟酰胺、0.15%苯乙基间苯二酚</w:t>
            </w:r>
          </w:p>
        </w:tc>
        <w:tc>
          <w:tcPr>
            <w:tcW w:w="2075" w:type="dxa"/>
            <w:vMerge w:val="restart"/>
          </w:tcPr>
          <w:p w14:paraId="0E9344C8">
            <w:pPr>
              <w:rPr>
                <w:rFonts w:ascii="Times New Roman" w:hAnsi="Times New Roman" w:eastAsia="宋体"/>
                <w:kern w:val="0"/>
                <w:szCs w:val="21"/>
                <w:highlight w:val="none"/>
              </w:rPr>
            </w:pPr>
            <w:r>
              <w:rPr>
                <w:rFonts w:hint="eastAsia" w:ascii="Times New Roman" w:hAnsi="Times New Roman"/>
                <w:szCs w:val="21"/>
                <w:highlight w:val="none"/>
              </w:rPr>
              <w:t>经皮渗透Franz扩散池—液质联用法/高效液相色谱法</w:t>
            </w:r>
          </w:p>
        </w:tc>
        <w:tc>
          <w:tcPr>
            <w:tcW w:w="782" w:type="dxa"/>
            <w:vAlign w:val="center"/>
          </w:tcPr>
          <w:p w14:paraId="42C2787C">
            <w:pPr>
              <w:jc w:val="center"/>
              <w:rPr>
                <w:rFonts w:ascii="Times New Roman" w:hAnsi="Times New Roman"/>
                <w:kern w:val="0"/>
                <w:szCs w:val="21"/>
                <w:highlight w:val="none"/>
              </w:rPr>
            </w:pPr>
            <w:r>
              <w:rPr>
                <w:rFonts w:ascii="Times New Roman" w:hAnsi="Times New Roman"/>
                <w:kern w:val="0"/>
                <w:szCs w:val="21"/>
                <w:highlight w:val="none"/>
              </w:rPr>
              <w:t>20g</w:t>
            </w:r>
          </w:p>
        </w:tc>
        <w:tc>
          <w:tcPr>
            <w:tcW w:w="942" w:type="dxa"/>
            <w:vMerge w:val="restart"/>
            <w:vAlign w:val="center"/>
          </w:tcPr>
          <w:p w14:paraId="3994FFFE">
            <w:pPr>
              <w:rPr>
                <w:rFonts w:ascii="Times New Roman" w:hAnsi="Times New Roman"/>
                <w:kern w:val="0"/>
                <w:szCs w:val="20"/>
                <w:highlight w:val="none"/>
              </w:rPr>
            </w:pPr>
            <w:r>
              <w:rPr>
                <w:rFonts w:hint="eastAsia" w:ascii="Times New Roman" w:hAnsi="Times New Roman"/>
                <w:kern w:val="0"/>
                <w:szCs w:val="20"/>
                <w:highlight w:val="none"/>
              </w:rPr>
              <w:t>4℃避光保存</w:t>
            </w:r>
          </w:p>
        </w:tc>
      </w:tr>
      <w:tr w14:paraId="7DDC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Align w:val="center"/>
          </w:tcPr>
          <w:p w14:paraId="02FB7E2B">
            <w:pPr>
              <w:jc w:val="center"/>
              <w:rPr>
                <w:rFonts w:ascii="Times New Roman" w:hAnsi="Times New Roman" w:eastAsia="宋体"/>
                <w:kern w:val="0"/>
                <w:szCs w:val="21"/>
                <w:highlight w:val="none"/>
              </w:rPr>
            </w:pPr>
            <w:r>
              <w:rPr>
                <w:rFonts w:ascii="Times New Roman" w:hAnsi="Times New Roman"/>
                <w:kern w:val="0"/>
                <w:szCs w:val="21"/>
                <w:highlight w:val="none"/>
              </w:rPr>
              <w:t>2</w:t>
            </w:r>
          </w:p>
        </w:tc>
        <w:tc>
          <w:tcPr>
            <w:tcW w:w="885" w:type="dxa"/>
            <w:vAlign w:val="center"/>
          </w:tcPr>
          <w:p w14:paraId="0523E362">
            <w:pPr>
              <w:jc w:val="center"/>
              <w:rPr>
                <w:rFonts w:ascii="Times New Roman" w:hAnsi="Times New Roman" w:eastAsia="宋体"/>
                <w:kern w:val="0"/>
                <w:szCs w:val="21"/>
                <w:highlight w:val="none"/>
              </w:rPr>
            </w:pPr>
            <w:r>
              <w:rPr>
                <w:rFonts w:hint="eastAsia" w:ascii="Times New Roman" w:hAnsi="Times New Roman"/>
                <w:kern w:val="0"/>
                <w:szCs w:val="21"/>
                <w:highlight w:val="none"/>
              </w:rPr>
              <w:t>促渗体系</w:t>
            </w:r>
          </w:p>
        </w:tc>
        <w:tc>
          <w:tcPr>
            <w:tcW w:w="2425" w:type="dxa"/>
            <w:vMerge w:val="continue"/>
            <w:vAlign w:val="center"/>
          </w:tcPr>
          <w:p w14:paraId="4CD6DD14">
            <w:pPr>
              <w:jc w:val="center"/>
              <w:rPr>
                <w:rFonts w:ascii="Times New Roman" w:hAnsi="Times New Roman"/>
                <w:kern w:val="0"/>
                <w:szCs w:val="21"/>
                <w:highlight w:val="none"/>
              </w:rPr>
            </w:pPr>
          </w:p>
        </w:tc>
        <w:tc>
          <w:tcPr>
            <w:tcW w:w="2075" w:type="dxa"/>
            <w:vMerge w:val="continue"/>
            <w:vAlign w:val="center"/>
          </w:tcPr>
          <w:p w14:paraId="69EC14C1">
            <w:pPr>
              <w:jc w:val="center"/>
              <w:rPr>
                <w:rFonts w:ascii="Times New Roman" w:hAnsi="Times New Roman"/>
                <w:kern w:val="0"/>
                <w:szCs w:val="21"/>
                <w:highlight w:val="none"/>
              </w:rPr>
            </w:pPr>
          </w:p>
        </w:tc>
        <w:tc>
          <w:tcPr>
            <w:tcW w:w="782" w:type="dxa"/>
            <w:vAlign w:val="center"/>
          </w:tcPr>
          <w:p w14:paraId="20E5327E">
            <w:pPr>
              <w:jc w:val="center"/>
              <w:rPr>
                <w:rFonts w:ascii="Times New Roman" w:hAnsi="Times New Roman"/>
                <w:kern w:val="0"/>
                <w:szCs w:val="21"/>
                <w:highlight w:val="none"/>
              </w:rPr>
            </w:pPr>
            <w:r>
              <w:rPr>
                <w:rFonts w:ascii="Times New Roman" w:hAnsi="Times New Roman"/>
                <w:kern w:val="0"/>
                <w:szCs w:val="21"/>
                <w:highlight w:val="none"/>
              </w:rPr>
              <w:t>20g</w:t>
            </w:r>
          </w:p>
        </w:tc>
        <w:tc>
          <w:tcPr>
            <w:tcW w:w="942" w:type="dxa"/>
            <w:vMerge w:val="continue"/>
          </w:tcPr>
          <w:p w14:paraId="13CEC15A">
            <w:pPr>
              <w:rPr>
                <w:rFonts w:ascii="Times New Roman" w:hAnsi="Times New Roman"/>
                <w:kern w:val="0"/>
                <w:szCs w:val="20"/>
                <w:highlight w:val="none"/>
              </w:rPr>
            </w:pPr>
          </w:p>
        </w:tc>
      </w:tr>
      <w:tr w14:paraId="043E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Align w:val="center"/>
          </w:tcPr>
          <w:p w14:paraId="06CE8B11">
            <w:pPr>
              <w:jc w:val="center"/>
              <w:rPr>
                <w:rFonts w:ascii="Times New Roman" w:hAnsi="Times New Roman" w:eastAsia="宋体"/>
                <w:kern w:val="0"/>
                <w:szCs w:val="21"/>
                <w:highlight w:val="none"/>
              </w:rPr>
            </w:pPr>
            <w:r>
              <w:rPr>
                <w:rFonts w:ascii="Times New Roman" w:hAnsi="Times New Roman"/>
                <w:kern w:val="0"/>
                <w:szCs w:val="21"/>
                <w:highlight w:val="none"/>
              </w:rPr>
              <w:t>3</w:t>
            </w:r>
          </w:p>
        </w:tc>
        <w:tc>
          <w:tcPr>
            <w:tcW w:w="885" w:type="dxa"/>
            <w:vAlign w:val="center"/>
          </w:tcPr>
          <w:p w14:paraId="3CB9BD9A">
            <w:pPr>
              <w:jc w:val="center"/>
              <w:rPr>
                <w:rFonts w:ascii="Times New Roman" w:hAnsi="Times New Roman"/>
                <w:kern w:val="0"/>
                <w:szCs w:val="21"/>
                <w:highlight w:val="none"/>
              </w:rPr>
            </w:pPr>
            <w:r>
              <w:rPr>
                <w:rFonts w:hint="eastAsia" w:ascii="Times New Roman" w:hAnsi="Times New Roman"/>
                <w:kern w:val="0"/>
                <w:szCs w:val="21"/>
                <w:highlight w:val="none"/>
              </w:rPr>
              <w:t>原料</w:t>
            </w:r>
          </w:p>
        </w:tc>
        <w:tc>
          <w:tcPr>
            <w:tcW w:w="2425" w:type="dxa"/>
            <w:vAlign w:val="center"/>
          </w:tcPr>
          <w:p w14:paraId="3CABA027">
            <w:pPr>
              <w:jc w:val="center"/>
              <w:rPr>
                <w:rFonts w:ascii="Times New Roman" w:hAnsi="Times New Roman"/>
                <w:kern w:val="0"/>
                <w:szCs w:val="21"/>
                <w:highlight w:val="none"/>
              </w:rPr>
            </w:pPr>
            <w:r>
              <w:rPr>
                <w:rFonts w:hint="eastAsia" w:ascii="Times New Roman" w:hAnsi="Times New Roman"/>
                <w:kern w:val="0"/>
                <w:szCs w:val="21"/>
                <w:highlight w:val="none"/>
              </w:rPr>
              <w:t>视黄醇</w:t>
            </w:r>
          </w:p>
        </w:tc>
        <w:tc>
          <w:tcPr>
            <w:tcW w:w="2075" w:type="dxa"/>
          </w:tcPr>
          <w:p w14:paraId="1F2BBE87">
            <w:pPr>
              <w:rPr>
                <w:rFonts w:ascii="Times New Roman" w:hAnsi="Times New Roman"/>
                <w:kern w:val="0"/>
                <w:szCs w:val="21"/>
                <w:highlight w:val="none"/>
              </w:rPr>
            </w:pPr>
            <w:r>
              <w:rPr>
                <w:rFonts w:hint="eastAsia" w:ascii="Times New Roman" w:hAnsi="Times New Roman"/>
                <w:szCs w:val="21"/>
                <w:highlight w:val="none"/>
              </w:rPr>
              <w:t>经皮渗透Franz扩散池—荧光显微镜法</w:t>
            </w:r>
          </w:p>
        </w:tc>
        <w:tc>
          <w:tcPr>
            <w:tcW w:w="782" w:type="dxa"/>
            <w:vAlign w:val="center"/>
          </w:tcPr>
          <w:p w14:paraId="6C390A05">
            <w:pPr>
              <w:jc w:val="center"/>
              <w:rPr>
                <w:rFonts w:ascii="Times New Roman" w:hAnsi="Times New Roman"/>
                <w:kern w:val="0"/>
                <w:szCs w:val="21"/>
                <w:highlight w:val="none"/>
              </w:rPr>
            </w:pPr>
            <w:r>
              <w:rPr>
                <w:rFonts w:ascii="Times New Roman" w:hAnsi="Times New Roman"/>
                <w:kern w:val="0"/>
                <w:szCs w:val="21"/>
                <w:highlight w:val="none"/>
              </w:rPr>
              <w:t>20g</w:t>
            </w:r>
          </w:p>
        </w:tc>
        <w:tc>
          <w:tcPr>
            <w:tcW w:w="942" w:type="dxa"/>
            <w:vMerge w:val="continue"/>
            <w:vAlign w:val="center"/>
          </w:tcPr>
          <w:p w14:paraId="63425EDF">
            <w:pPr>
              <w:rPr>
                <w:rFonts w:ascii="Times New Roman" w:hAnsi="Times New Roman"/>
                <w:kern w:val="0"/>
                <w:szCs w:val="20"/>
                <w:highlight w:val="none"/>
              </w:rPr>
            </w:pPr>
          </w:p>
        </w:tc>
      </w:tr>
      <w:tr w14:paraId="580D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Align w:val="center"/>
          </w:tcPr>
          <w:p w14:paraId="6A81B443">
            <w:pPr>
              <w:jc w:val="center"/>
              <w:rPr>
                <w:rFonts w:ascii="Times New Roman" w:hAnsi="Times New Roman"/>
                <w:kern w:val="0"/>
                <w:szCs w:val="21"/>
                <w:highlight w:val="none"/>
              </w:rPr>
            </w:pPr>
            <w:r>
              <w:rPr>
                <w:rFonts w:hint="eastAsia" w:ascii="Times New Roman" w:hAnsi="Times New Roman"/>
                <w:kern w:val="0"/>
                <w:szCs w:val="21"/>
                <w:highlight w:val="none"/>
              </w:rPr>
              <w:t>4(质控样品)</w:t>
            </w:r>
          </w:p>
        </w:tc>
        <w:tc>
          <w:tcPr>
            <w:tcW w:w="885" w:type="dxa"/>
            <w:vAlign w:val="center"/>
          </w:tcPr>
          <w:p w14:paraId="0CED4F13">
            <w:pPr>
              <w:jc w:val="center"/>
              <w:rPr>
                <w:rFonts w:ascii="Times New Roman" w:hAnsi="Times New Roman" w:eastAsia="宋体"/>
                <w:kern w:val="0"/>
                <w:szCs w:val="21"/>
                <w:highlight w:val="none"/>
              </w:rPr>
            </w:pPr>
            <w:r>
              <w:rPr>
                <w:rFonts w:hint="eastAsia" w:ascii="Times New Roman" w:hAnsi="Times New Roman"/>
                <w:kern w:val="0"/>
                <w:szCs w:val="21"/>
                <w:highlight w:val="none"/>
              </w:rPr>
              <w:t>溶液</w:t>
            </w:r>
          </w:p>
        </w:tc>
        <w:tc>
          <w:tcPr>
            <w:tcW w:w="2425" w:type="dxa"/>
            <w:vAlign w:val="center"/>
          </w:tcPr>
          <w:p w14:paraId="06FF527D">
            <w:pPr>
              <w:jc w:val="center"/>
              <w:rPr>
                <w:rFonts w:ascii="Times New Roman" w:hAnsi="Times New Roman" w:eastAsia="宋体"/>
                <w:kern w:val="0"/>
                <w:szCs w:val="21"/>
                <w:highlight w:val="none"/>
              </w:rPr>
            </w:pPr>
            <w:r>
              <w:rPr>
                <w:rFonts w:hint="eastAsia" w:ascii="Times New Roman" w:hAnsi="Times New Roman"/>
                <w:kern w:val="0"/>
                <w:szCs w:val="21"/>
                <w:highlight w:val="none"/>
              </w:rPr>
              <w:t>苯甲酸</w:t>
            </w:r>
          </w:p>
        </w:tc>
        <w:tc>
          <w:tcPr>
            <w:tcW w:w="2075" w:type="dxa"/>
          </w:tcPr>
          <w:p w14:paraId="0C0C3CEF">
            <w:pPr>
              <w:rPr>
                <w:rFonts w:ascii="Times New Roman" w:hAnsi="Times New Roman" w:eastAsia="宋体"/>
                <w:szCs w:val="21"/>
                <w:highlight w:val="none"/>
              </w:rPr>
            </w:pPr>
            <w:r>
              <w:rPr>
                <w:rFonts w:hint="eastAsia" w:ascii="Times New Roman" w:hAnsi="Times New Roman"/>
                <w:szCs w:val="21"/>
                <w:highlight w:val="none"/>
              </w:rPr>
              <w:t>经皮渗透Franz扩散池—液相色谱法</w:t>
            </w:r>
          </w:p>
        </w:tc>
        <w:tc>
          <w:tcPr>
            <w:tcW w:w="782" w:type="dxa"/>
            <w:vAlign w:val="center"/>
          </w:tcPr>
          <w:p w14:paraId="4C8A6727">
            <w:pPr>
              <w:jc w:val="center"/>
              <w:rPr>
                <w:rFonts w:ascii="Times New Roman" w:hAnsi="Times New Roman" w:eastAsia="宋体"/>
                <w:kern w:val="0"/>
                <w:szCs w:val="21"/>
                <w:highlight w:val="none"/>
              </w:rPr>
            </w:pPr>
            <w:r>
              <w:rPr>
                <w:rFonts w:ascii="Times New Roman" w:hAnsi="Times New Roman"/>
                <w:kern w:val="0"/>
                <w:szCs w:val="21"/>
                <w:highlight w:val="none"/>
              </w:rPr>
              <w:t>20g</w:t>
            </w:r>
          </w:p>
        </w:tc>
        <w:tc>
          <w:tcPr>
            <w:tcW w:w="942" w:type="dxa"/>
            <w:vMerge w:val="continue"/>
            <w:vAlign w:val="center"/>
          </w:tcPr>
          <w:p w14:paraId="74A42432">
            <w:pPr>
              <w:rPr>
                <w:rFonts w:ascii="Times New Roman" w:hAnsi="Times New Roman"/>
                <w:kern w:val="0"/>
                <w:szCs w:val="20"/>
                <w:highlight w:val="none"/>
              </w:rPr>
            </w:pPr>
          </w:p>
        </w:tc>
      </w:tr>
    </w:tbl>
    <w:p w14:paraId="1CFF831A">
      <w:pPr>
        <w:pStyle w:val="3"/>
        <w:rPr>
          <w:highlight w:val="none"/>
        </w:rPr>
      </w:pPr>
      <w:r>
        <w:rPr>
          <w:rFonts w:hint="eastAsia"/>
          <w:highlight w:val="none"/>
        </w:rPr>
        <w:t>3.2 试验方法</w:t>
      </w:r>
    </w:p>
    <w:p w14:paraId="11552FD9">
      <w:pPr>
        <w:spacing w:line="360" w:lineRule="auto"/>
        <w:ind w:firstLine="480" w:firstLineChars="200"/>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按照验证方案文本中的试验方法对样品1、样品2和样品4进行经皮</w:t>
      </w:r>
      <w:r>
        <w:rPr>
          <w:rFonts w:hint="eastAsia" w:ascii="Times New Roman" w:hAnsi="Times New Roman" w:cs="Times New Roman"/>
          <w:sz w:val="24"/>
          <w:highlight w:val="none"/>
        </w:rPr>
        <w:t>吸收</w:t>
      </w:r>
      <w:r>
        <w:rPr>
          <w:rFonts w:hint="eastAsia" w:ascii="Times New Roman" w:hAnsi="Times New Roman" w:eastAsia="宋体" w:cs="Times New Roman"/>
          <w:sz w:val="24"/>
          <w:highlight w:val="none"/>
        </w:rPr>
        <w:t>Franz扩散池—液质联用法/高效液相色谱法试验，每组至少4个有效数据；对样品3进行经皮</w:t>
      </w:r>
      <w:r>
        <w:rPr>
          <w:rFonts w:hint="eastAsia" w:ascii="Times New Roman" w:hAnsi="Times New Roman" w:cs="Times New Roman"/>
          <w:sz w:val="24"/>
          <w:highlight w:val="none"/>
        </w:rPr>
        <w:t>吸收</w:t>
      </w:r>
      <w:r>
        <w:rPr>
          <w:rFonts w:hint="eastAsia" w:ascii="Times New Roman" w:hAnsi="Times New Roman" w:eastAsia="宋体" w:cs="Times New Roman"/>
          <w:sz w:val="24"/>
          <w:highlight w:val="none"/>
        </w:rPr>
        <w:t>Franz扩散池—荧光显微镜法试验，每组至少4个有效数据。</w:t>
      </w:r>
    </w:p>
    <w:p w14:paraId="0C19628A">
      <w:pPr>
        <w:pStyle w:val="3"/>
        <w:rPr>
          <w:highlight w:val="none"/>
        </w:rPr>
      </w:pPr>
      <w:r>
        <w:rPr>
          <w:rFonts w:hint="eastAsia"/>
          <w:highlight w:val="none"/>
        </w:rPr>
        <w:t>3.3 试验结果分析</w:t>
      </w:r>
    </w:p>
    <w:p w14:paraId="44E5FF48">
      <w:pPr>
        <w:widowControl/>
        <w:spacing w:line="360" w:lineRule="auto"/>
        <w:outlineLvl w:val="2"/>
        <w:rPr>
          <w:rStyle w:val="33"/>
          <w:szCs w:val="22"/>
          <w:highlight w:val="none"/>
        </w:rPr>
      </w:pPr>
      <w:r>
        <w:rPr>
          <w:rStyle w:val="33"/>
          <w:szCs w:val="22"/>
          <w:highlight w:val="none"/>
        </w:rPr>
        <w:t>3.3.1 样品1、2试验结果分析</w:t>
      </w:r>
    </w:p>
    <w:p w14:paraId="467F3B02">
      <w:pPr>
        <w:jc w:val="center"/>
        <w:rPr>
          <w:rFonts w:hint="eastAsia" w:ascii="宋体" w:hAnsi="宋体" w:eastAsia="宋体" w:cs="宋体"/>
          <w:sz w:val="24"/>
          <w:highlight w:val="none"/>
        </w:rPr>
      </w:pPr>
      <w:r>
        <w:rPr>
          <w:rFonts w:hint="eastAsia" w:ascii="宋体" w:hAnsi="宋体" w:eastAsia="宋体" w:cs="宋体"/>
          <w:sz w:val="24"/>
          <w:highlight w:val="none"/>
        </w:rPr>
        <w:t>表2 各实验室回收率统计表（均值±标准差，n≥4）</w:t>
      </w:r>
    </w:p>
    <w:tbl>
      <w:tblPr>
        <w:tblStyle w:val="11"/>
        <w:tblW w:w="89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637"/>
        <w:gridCol w:w="2088"/>
        <w:gridCol w:w="2100"/>
        <w:gridCol w:w="1887"/>
      </w:tblGrid>
      <w:tr w14:paraId="2173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vAlign w:val="center"/>
          </w:tcPr>
          <w:p w14:paraId="1A078B01">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物质名称</w:t>
            </w:r>
          </w:p>
        </w:tc>
        <w:tc>
          <w:tcPr>
            <w:tcW w:w="1637" w:type="dxa"/>
            <w:vAlign w:val="center"/>
          </w:tcPr>
          <w:p w14:paraId="2E6C5F95">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样品类别</w:t>
            </w:r>
          </w:p>
        </w:tc>
        <w:tc>
          <w:tcPr>
            <w:tcW w:w="2088" w:type="dxa"/>
            <w:vAlign w:val="center"/>
          </w:tcPr>
          <w:p w14:paraId="0E9BB624">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实验室A</w:t>
            </w:r>
          </w:p>
        </w:tc>
        <w:tc>
          <w:tcPr>
            <w:tcW w:w="2100" w:type="dxa"/>
            <w:vAlign w:val="center"/>
          </w:tcPr>
          <w:p w14:paraId="06A742D9">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实验室B</w:t>
            </w:r>
          </w:p>
        </w:tc>
        <w:tc>
          <w:tcPr>
            <w:tcW w:w="1887" w:type="dxa"/>
            <w:vAlign w:val="center"/>
          </w:tcPr>
          <w:p w14:paraId="59BC220C">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实验室C</w:t>
            </w:r>
          </w:p>
        </w:tc>
      </w:tr>
      <w:tr w14:paraId="54A9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vMerge w:val="restart"/>
            <w:vAlign w:val="center"/>
          </w:tcPr>
          <w:p w14:paraId="55FD9DA0">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烟酰胺</w:t>
            </w:r>
          </w:p>
        </w:tc>
        <w:tc>
          <w:tcPr>
            <w:tcW w:w="1637" w:type="dxa"/>
            <w:vAlign w:val="center"/>
          </w:tcPr>
          <w:p w14:paraId="7D94F324">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非促渗体系</w:t>
            </w:r>
          </w:p>
        </w:tc>
        <w:tc>
          <w:tcPr>
            <w:tcW w:w="2088" w:type="dxa"/>
            <w:vAlign w:val="center"/>
          </w:tcPr>
          <w:p w14:paraId="56409B1F">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86.34%±3.94%</w:t>
            </w:r>
          </w:p>
        </w:tc>
        <w:tc>
          <w:tcPr>
            <w:tcW w:w="2100" w:type="dxa"/>
            <w:vAlign w:val="center"/>
          </w:tcPr>
          <w:p w14:paraId="078BD599">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91.95%±11.04%</w:t>
            </w:r>
          </w:p>
        </w:tc>
        <w:tc>
          <w:tcPr>
            <w:tcW w:w="1887" w:type="dxa"/>
            <w:vAlign w:val="center"/>
          </w:tcPr>
          <w:p w14:paraId="1A8E0030">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86.58%±1.88%</w:t>
            </w:r>
          </w:p>
        </w:tc>
      </w:tr>
      <w:tr w14:paraId="7433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vMerge w:val="continue"/>
            <w:vAlign w:val="center"/>
          </w:tcPr>
          <w:p w14:paraId="1629E663">
            <w:pPr>
              <w:widowControl/>
              <w:spacing w:line="360" w:lineRule="auto"/>
              <w:jc w:val="center"/>
              <w:rPr>
                <w:rFonts w:ascii="Times New Roman" w:hAnsi="Times New Roman" w:eastAsia="宋体" w:cs="Times New Roman"/>
                <w:sz w:val="24"/>
                <w:szCs w:val="22"/>
                <w:highlight w:val="none"/>
              </w:rPr>
            </w:pPr>
          </w:p>
        </w:tc>
        <w:tc>
          <w:tcPr>
            <w:tcW w:w="1637" w:type="dxa"/>
            <w:vAlign w:val="center"/>
          </w:tcPr>
          <w:p w14:paraId="607828D3">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促渗体系</w:t>
            </w:r>
          </w:p>
        </w:tc>
        <w:tc>
          <w:tcPr>
            <w:tcW w:w="2088" w:type="dxa"/>
            <w:vAlign w:val="center"/>
          </w:tcPr>
          <w:p w14:paraId="7CC2FDB7">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89.83%±4.76%</w:t>
            </w:r>
          </w:p>
        </w:tc>
        <w:tc>
          <w:tcPr>
            <w:tcW w:w="2100" w:type="dxa"/>
            <w:vAlign w:val="center"/>
          </w:tcPr>
          <w:p w14:paraId="5F8C583B">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96.60%±9.41%</w:t>
            </w:r>
          </w:p>
        </w:tc>
        <w:tc>
          <w:tcPr>
            <w:tcW w:w="1887" w:type="dxa"/>
            <w:vAlign w:val="center"/>
          </w:tcPr>
          <w:p w14:paraId="2621A7ED">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87.40%±2.14%</w:t>
            </w:r>
          </w:p>
        </w:tc>
      </w:tr>
      <w:tr w14:paraId="5303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vMerge w:val="restart"/>
            <w:vAlign w:val="center"/>
          </w:tcPr>
          <w:p w14:paraId="0881B0CE">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377</w:t>
            </w:r>
          </w:p>
        </w:tc>
        <w:tc>
          <w:tcPr>
            <w:tcW w:w="1637" w:type="dxa"/>
            <w:vAlign w:val="center"/>
          </w:tcPr>
          <w:p w14:paraId="72689664">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非促渗体系</w:t>
            </w:r>
          </w:p>
        </w:tc>
        <w:tc>
          <w:tcPr>
            <w:tcW w:w="2088" w:type="dxa"/>
            <w:vAlign w:val="center"/>
          </w:tcPr>
          <w:p w14:paraId="315E6614">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106.89%±6.50%</w:t>
            </w:r>
          </w:p>
        </w:tc>
        <w:tc>
          <w:tcPr>
            <w:tcW w:w="2100" w:type="dxa"/>
            <w:vAlign w:val="center"/>
          </w:tcPr>
          <w:p w14:paraId="0D7EC88A">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97.58%±14.16%</w:t>
            </w:r>
          </w:p>
        </w:tc>
        <w:tc>
          <w:tcPr>
            <w:tcW w:w="1887" w:type="dxa"/>
            <w:vAlign w:val="center"/>
          </w:tcPr>
          <w:p w14:paraId="53DFFD3F">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87.51%±1.44%</w:t>
            </w:r>
          </w:p>
        </w:tc>
      </w:tr>
      <w:tr w14:paraId="472D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vMerge w:val="continue"/>
            <w:vAlign w:val="center"/>
          </w:tcPr>
          <w:p w14:paraId="3BD60466">
            <w:pPr>
              <w:widowControl/>
              <w:spacing w:line="360" w:lineRule="auto"/>
              <w:jc w:val="center"/>
              <w:rPr>
                <w:rFonts w:ascii="Times New Roman" w:hAnsi="Times New Roman" w:eastAsia="宋体" w:cs="Times New Roman"/>
                <w:sz w:val="24"/>
                <w:szCs w:val="22"/>
                <w:highlight w:val="none"/>
              </w:rPr>
            </w:pPr>
          </w:p>
        </w:tc>
        <w:tc>
          <w:tcPr>
            <w:tcW w:w="1637" w:type="dxa"/>
            <w:vAlign w:val="center"/>
          </w:tcPr>
          <w:p w14:paraId="1C739A31">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促渗体系</w:t>
            </w:r>
          </w:p>
        </w:tc>
        <w:tc>
          <w:tcPr>
            <w:tcW w:w="2088" w:type="dxa"/>
            <w:vAlign w:val="center"/>
          </w:tcPr>
          <w:p w14:paraId="19EF1B2D">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94.72%±8.06%</w:t>
            </w:r>
          </w:p>
        </w:tc>
        <w:tc>
          <w:tcPr>
            <w:tcW w:w="2100" w:type="dxa"/>
            <w:vAlign w:val="center"/>
          </w:tcPr>
          <w:p w14:paraId="04F24ADE">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116.25%±10.07%</w:t>
            </w:r>
          </w:p>
        </w:tc>
        <w:tc>
          <w:tcPr>
            <w:tcW w:w="1887" w:type="dxa"/>
            <w:vAlign w:val="center"/>
          </w:tcPr>
          <w:p w14:paraId="5E2EDEFE">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86.18%±1.15%</w:t>
            </w:r>
          </w:p>
        </w:tc>
      </w:tr>
    </w:tbl>
    <w:p w14:paraId="3D6852E4">
      <w:pPr>
        <w:rPr>
          <w:rFonts w:ascii="Times New Roman" w:hAnsi="Times New Roman" w:eastAsia="仿宋" w:cs="Times New Roman"/>
          <w:szCs w:val="21"/>
          <w:highlight w:val="none"/>
        </w:rPr>
      </w:pPr>
    </w:p>
    <w:p w14:paraId="6640DB67">
      <w:pPr>
        <w:jc w:val="center"/>
        <w:rPr>
          <w:rFonts w:hint="eastAsia" w:ascii="宋体" w:hAnsi="宋体" w:eastAsia="宋体" w:cs="宋体"/>
          <w:sz w:val="24"/>
          <w:highlight w:val="none"/>
        </w:rPr>
      </w:pPr>
      <w:r>
        <w:rPr>
          <w:rFonts w:hint="eastAsia" w:ascii="宋体" w:hAnsi="宋体" w:eastAsia="宋体" w:cs="宋体"/>
          <w:sz w:val="24"/>
          <w:highlight w:val="none"/>
        </w:rPr>
        <w:t>表3 各实验室渗透率统计表（均值±标准差，n≥4）</w:t>
      </w:r>
    </w:p>
    <w:tbl>
      <w:tblPr>
        <w:tblStyle w:val="11"/>
        <w:tblpPr w:leftFromText="180" w:rightFromText="180" w:vertAnchor="text" w:horzAnchor="page" w:tblpX="1800" w:tblpY="318"/>
        <w:tblOverlap w:val="never"/>
        <w:tblW w:w="89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1200"/>
        <w:gridCol w:w="1300"/>
        <w:gridCol w:w="968"/>
        <w:gridCol w:w="1257"/>
        <w:gridCol w:w="1011"/>
        <w:gridCol w:w="1239"/>
        <w:gridCol w:w="1033"/>
      </w:tblGrid>
      <w:tr w14:paraId="4F8B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Align w:val="center"/>
          </w:tcPr>
          <w:p w14:paraId="612DF1CE">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物质名称</w:t>
            </w:r>
          </w:p>
        </w:tc>
        <w:tc>
          <w:tcPr>
            <w:tcW w:w="1200" w:type="dxa"/>
            <w:vAlign w:val="center"/>
          </w:tcPr>
          <w:p w14:paraId="3AA2618D">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样品类别</w:t>
            </w:r>
          </w:p>
        </w:tc>
        <w:tc>
          <w:tcPr>
            <w:tcW w:w="1300" w:type="dxa"/>
            <w:vAlign w:val="center"/>
          </w:tcPr>
          <w:p w14:paraId="02851F6A">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实验室A</w:t>
            </w:r>
          </w:p>
        </w:tc>
        <w:tc>
          <w:tcPr>
            <w:tcW w:w="968" w:type="dxa"/>
            <w:vAlign w:val="center"/>
          </w:tcPr>
          <w:p w14:paraId="4812DA08">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P值</w:t>
            </w:r>
          </w:p>
        </w:tc>
        <w:tc>
          <w:tcPr>
            <w:tcW w:w="1257" w:type="dxa"/>
            <w:vAlign w:val="center"/>
          </w:tcPr>
          <w:p w14:paraId="16434B6A">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实验室B</w:t>
            </w:r>
          </w:p>
        </w:tc>
        <w:tc>
          <w:tcPr>
            <w:tcW w:w="1011" w:type="dxa"/>
            <w:vAlign w:val="center"/>
          </w:tcPr>
          <w:p w14:paraId="2EB0D835">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P值</w:t>
            </w:r>
          </w:p>
        </w:tc>
        <w:tc>
          <w:tcPr>
            <w:tcW w:w="1239" w:type="dxa"/>
            <w:vAlign w:val="center"/>
          </w:tcPr>
          <w:p w14:paraId="516333A8">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实验室C</w:t>
            </w:r>
          </w:p>
        </w:tc>
        <w:tc>
          <w:tcPr>
            <w:tcW w:w="1033" w:type="dxa"/>
            <w:vAlign w:val="center"/>
          </w:tcPr>
          <w:p w14:paraId="65C19C08">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P值</w:t>
            </w:r>
          </w:p>
        </w:tc>
      </w:tr>
      <w:tr w14:paraId="6901D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Merge w:val="restart"/>
            <w:vAlign w:val="center"/>
          </w:tcPr>
          <w:p w14:paraId="3EE7C14D">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烟酰胺</w:t>
            </w:r>
          </w:p>
        </w:tc>
        <w:tc>
          <w:tcPr>
            <w:tcW w:w="1200" w:type="dxa"/>
            <w:vAlign w:val="center"/>
          </w:tcPr>
          <w:p w14:paraId="5BEF6F47">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非促渗体系</w:t>
            </w:r>
          </w:p>
        </w:tc>
        <w:tc>
          <w:tcPr>
            <w:tcW w:w="1300" w:type="dxa"/>
            <w:vAlign w:val="center"/>
          </w:tcPr>
          <w:p w14:paraId="0B8CDB80">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15.95%±3.44%</w:t>
            </w:r>
          </w:p>
        </w:tc>
        <w:tc>
          <w:tcPr>
            <w:tcW w:w="968" w:type="dxa"/>
            <w:vMerge w:val="restart"/>
            <w:vAlign w:val="center"/>
          </w:tcPr>
          <w:p w14:paraId="35CD75C6">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0.027</w:t>
            </w:r>
          </w:p>
        </w:tc>
        <w:tc>
          <w:tcPr>
            <w:tcW w:w="1257" w:type="dxa"/>
            <w:vAlign w:val="center"/>
          </w:tcPr>
          <w:p w14:paraId="262BF038">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6.33%±2.07%</w:t>
            </w:r>
          </w:p>
        </w:tc>
        <w:tc>
          <w:tcPr>
            <w:tcW w:w="1011" w:type="dxa"/>
            <w:vMerge w:val="restart"/>
            <w:vAlign w:val="center"/>
          </w:tcPr>
          <w:p w14:paraId="7EAB4C29">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0.007</w:t>
            </w:r>
          </w:p>
        </w:tc>
        <w:tc>
          <w:tcPr>
            <w:tcW w:w="1239" w:type="dxa"/>
            <w:vAlign w:val="center"/>
          </w:tcPr>
          <w:p w14:paraId="0C95CD77">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14.44%±9.63%</w:t>
            </w:r>
          </w:p>
        </w:tc>
        <w:tc>
          <w:tcPr>
            <w:tcW w:w="1033" w:type="dxa"/>
            <w:vMerge w:val="restart"/>
            <w:vAlign w:val="center"/>
          </w:tcPr>
          <w:p w14:paraId="69F7F86A">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0.009</w:t>
            </w:r>
          </w:p>
        </w:tc>
      </w:tr>
      <w:tr w14:paraId="6EF9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Merge w:val="continue"/>
            <w:vAlign w:val="center"/>
          </w:tcPr>
          <w:p w14:paraId="07C03A8C">
            <w:pPr>
              <w:widowControl/>
              <w:spacing w:line="360" w:lineRule="auto"/>
              <w:jc w:val="center"/>
              <w:rPr>
                <w:rFonts w:ascii="Times New Roman" w:hAnsi="Times New Roman" w:eastAsia="宋体" w:cs="Times New Roman"/>
                <w:sz w:val="24"/>
                <w:szCs w:val="22"/>
                <w:highlight w:val="none"/>
              </w:rPr>
            </w:pPr>
          </w:p>
        </w:tc>
        <w:tc>
          <w:tcPr>
            <w:tcW w:w="1200" w:type="dxa"/>
            <w:vAlign w:val="center"/>
          </w:tcPr>
          <w:p w14:paraId="7492D2FD">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促渗体系</w:t>
            </w:r>
          </w:p>
        </w:tc>
        <w:tc>
          <w:tcPr>
            <w:tcW w:w="1300" w:type="dxa"/>
            <w:vAlign w:val="center"/>
          </w:tcPr>
          <w:p w14:paraId="3FB534B6">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35.60%±15.91%</w:t>
            </w:r>
          </w:p>
        </w:tc>
        <w:tc>
          <w:tcPr>
            <w:tcW w:w="968" w:type="dxa"/>
            <w:vMerge w:val="continue"/>
            <w:vAlign w:val="center"/>
          </w:tcPr>
          <w:p w14:paraId="25B40D40">
            <w:pPr>
              <w:widowControl/>
              <w:spacing w:line="360" w:lineRule="auto"/>
              <w:jc w:val="center"/>
              <w:rPr>
                <w:rFonts w:ascii="Times New Roman" w:hAnsi="Times New Roman" w:eastAsia="宋体" w:cs="Times New Roman"/>
                <w:sz w:val="24"/>
                <w:szCs w:val="22"/>
                <w:highlight w:val="none"/>
              </w:rPr>
            </w:pPr>
          </w:p>
        </w:tc>
        <w:tc>
          <w:tcPr>
            <w:tcW w:w="1257" w:type="dxa"/>
            <w:vAlign w:val="center"/>
          </w:tcPr>
          <w:p w14:paraId="076D0FA5">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14.35%±4.52%</w:t>
            </w:r>
          </w:p>
        </w:tc>
        <w:tc>
          <w:tcPr>
            <w:tcW w:w="1011" w:type="dxa"/>
            <w:vMerge w:val="continue"/>
            <w:vAlign w:val="center"/>
          </w:tcPr>
          <w:p w14:paraId="7DFDD3AD">
            <w:pPr>
              <w:widowControl/>
              <w:spacing w:line="360" w:lineRule="auto"/>
              <w:jc w:val="center"/>
              <w:rPr>
                <w:rFonts w:ascii="Times New Roman" w:hAnsi="Times New Roman" w:eastAsia="宋体" w:cs="Times New Roman"/>
                <w:sz w:val="24"/>
                <w:szCs w:val="22"/>
                <w:highlight w:val="none"/>
              </w:rPr>
            </w:pPr>
          </w:p>
        </w:tc>
        <w:tc>
          <w:tcPr>
            <w:tcW w:w="1239" w:type="dxa"/>
            <w:vAlign w:val="center"/>
          </w:tcPr>
          <w:p w14:paraId="0DAE9088">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34.48%±8.85%</w:t>
            </w:r>
          </w:p>
        </w:tc>
        <w:tc>
          <w:tcPr>
            <w:tcW w:w="1033" w:type="dxa"/>
            <w:vMerge w:val="continue"/>
            <w:vAlign w:val="center"/>
          </w:tcPr>
          <w:p w14:paraId="7CEB6E78">
            <w:pPr>
              <w:widowControl/>
              <w:spacing w:line="360" w:lineRule="auto"/>
              <w:jc w:val="center"/>
              <w:rPr>
                <w:rFonts w:ascii="Times New Roman" w:hAnsi="Times New Roman" w:eastAsia="宋体" w:cs="Times New Roman"/>
                <w:sz w:val="24"/>
                <w:szCs w:val="22"/>
                <w:highlight w:val="none"/>
              </w:rPr>
            </w:pPr>
          </w:p>
        </w:tc>
      </w:tr>
      <w:tr w14:paraId="139D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Merge w:val="restart"/>
            <w:vAlign w:val="center"/>
          </w:tcPr>
          <w:p w14:paraId="05F48E7A">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377</w:t>
            </w:r>
          </w:p>
        </w:tc>
        <w:tc>
          <w:tcPr>
            <w:tcW w:w="1200" w:type="dxa"/>
            <w:vAlign w:val="center"/>
          </w:tcPr>
          <w:p w14:paraId="120A9DCA">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非促渗体系</w:t>
            </w:r>
          </w:p>
        </w:tc>
        <w:tc>
          <w:tcPr>
            <w:tcW w:w="1300" w:type="dxa"/>
            <w:vAlign w:val="center"/>
          </w:tcPr>
          <w:p w14:paraId="3C53FC17">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43.44%±6.57%</w:t>
            </w:r>
          </w:p>
        </w:tc>
        <w:tc>
          <w:tcPr>
            <w:tcW w:w="968" w:type="dxa"/>
            <w:vMerge w:val="restart"/>
            <w:vAlign w:val="center"/>
          </w:tcPr>
          <w:p w14:paraId="7CFAD08C">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&lt;0.001</w:t>
            </w:r>
          </w:p>
        </w:tc>
        <w:tc>
          <w:tcPr>
            <w:tcW w:w="1257" w:type="dxa"/>
            <w:vAlign w:val="center"/>
          </w:tcPr>
          <w:p w14:paraId="3D1F9507">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18.43%±6.95%</w:t>
            </w:r>
          </w:p>
        </w:tc>
        <w:tc>
          <w:tcPr>
            <w:tcW w:w="1011" w:type="dxa"/>
            <w:vMerge w:val="restart"/>
            <w:vAlign w:val="center"/>
          </w:tcPr>
          <w:p w14:paraId="7FA50548">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&lt;0.001</w:t>
            </w:r>
          </w:p>
        </w:tc>
        <w:tc>
          <w:tcPr>
            <w:tcW w:w="1239" w:type="dxa"/>
            <w:vAlign w:val="center"/>
          </w:tcPr>
          <w:p w14:paraId="78C88FE4">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43.13%±6.94%</w:t>
            </w:r>
          </w:p>
        </w:tc>
        <w:tc>
          <w:tcPr>
            <w:tcW w:w="1033" w:type="dxa"/>
            <w:vMerge w:val="restart"/>
            <w:vAlign w:val="center"/>
          </w:tcPr>
          <w:p w14:paraId="41451E08">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0.027</w:t>
            </w:r>
          </w:p>
        </w:tc>
      </w:tr>
      <w:tr w14:paraId="5C60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Merge w:val="continue"/>
            <w:vAlign w:val="center"/>
          </w:tcPr>
          <w:p w14:paraId="2C3FE907">
            <w:pPr>
              <w:widowControl/>
              <w:spacing w:line="360" w:lineRule="auto"/>
              <w:jc w:val="center"/>
              <w:rPr>
                <w:rFonts w:ascii="Times New Roman" w:hAnsi="Times New Roman" w:eastAsia="宋体" w:cs="Times New Roman"/>
                <w:sz w:val="24"/>
                <w:szCs w:val="22"/>
                <w:highlight w:val="none"/>
              </w:rPr>
            </w:pPr>
          </w:p>
        </w:tc>
        <w:tc>
          <w:tcPr>
            <w:tcW w:w="1200" w:type="dxa"/>
            <w:vAlign w:val="center"/>
          </w:tcPr>
          <w:p w14:paraId="2ADB7BA6">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促渗体系</w:t>
            </w:r>
          </w:p>
        </w:tc>
        <w:tc>
          <w:tcPr>
            <w:tcW w:w="1300" w:type="dxa"/>
            <w:vAlign w:val="center"/>
          </w:tcPr>
          <w:p w14:paraId="41235B6F">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74.70%±7.60%</w:t>
            </w:r>
          </w:p>
        </w:tc>
        <w:tc>
          <w:tcPr>
            <w:tcW w:w="968" w:type="dxa"/>
            <w:vMerge w:val="continue"/>
            <w:vAlign w:val="center"/>
          </w:tcPr>
          <w:p w14:paraId="047779C9">
            <w:pPr>
              <w:widowControl/>
              <w:spacing w:line="360" w:lineRule="auto"/>
              <w:jc w:val="center"/>
              <w:rPr>
                <w:rFonts w:ascii="Times New Roman" w:hAnsi="Times New Roman" w:eastAsia="宋体" w:cs="Times New Roman"/>
                <w:sz w:val="24"/>
                <w:szCs w:val="22"/>
                <w:highlight w:val="none"/>
              </w:rPr>
            </w:pPr>
          </w:p>
        </w:tc>
        <w:tc>
          <w:tcPr>
            <w:tcW w:w="1257" w:type="dxa"/>
            <w:vAlign w:val="center"/>
          </w:tcPr>
          <w:p w14:paraId="7687B9EE">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76.12%±10.11%</w:t>
            </w:r>
          </w:p>
        </w:tc>
        <w:tc>
          <w:tcPr>
            <w:tcW w:w="1011" w:type="dxa"/>
            <w:vMerge w:val="continue"/>
            <w:vAlign w:val="center"/>
          </w:tcPr>
          <w:p w14:paraId="4FF4DC37">
            <w:pPr>
              <w:widowControl/>
              <w:spacing w:line="360" w:lineRule="auto"/>
              <w:jc w:val="center"/>
              <w:rPr>
                <w:rFonts w:ascii="Times New Roman" w:hAnsi="Times New Roman" w:eastAsia="宋体" w:cs="Times New Roman"/>
                <w:sz w:val="24"/>
                <w:szCs w:val="22"/>
                <w:highlight w:val="none"/>
              </w:rPr>
            </w:pPr>
          </w:p>
        </w:tc>
        <w:tc>
          <w:tcPr>
            <w:tcW w:w="1239" w:type="dxa"/>
            <w:vAlign w:val="center"/>
          </w:tcPr>
          <w:p w14:paraId="7FB11473">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57.44%±6.98%</w:t>
            </w:r>
          </w:p>
        </w:tc>
        <w:tc>
          <w:tcPr>
            <w:tcW w:w="1033" w:type="dxa"/>
            <w:vMerge w:val="continue"/>
            <w:vAlign w:val="center"/>
          </w:tcPr>
          <w:p w14:paraId="476A8440">
            <w:pPr>
              <w:widowControl/>
              <w:spacing w:line="360" w:lineRule="auto"/>
              <w:jc w:val="center"/>
              <w:rPr>
                <w:rFonts w:ascii="Times New Roman" w:hAnsi="Times New Roman" w:eastAsia="宋体" w:cs="Times New Roman"/>
                <w:sz w:val="24"/>
                <w:szCs w:val="22"/>
                <w:highlight w:val="none"/>
              </w:rPr>
            </w:pPr>
          </w:p>
        </w:tc>
      </w:tr>
    </w:tbl>
    <w:p w14:paraId="79E1EBB6">
      <w:pPr>
        <w:jc w:val="center"/>
        <w:rPr>
          <w:rFonts w:ascii="Times New Roman" w:hAnsi="Times New Roman" w:eastAsia="仿宋" w:cs="Times New Roman"/>
          <w:szCs w:val="21"/>
          <w:highlight w:val="none"/>
        </w:rPr>
      </w:pPr>
      <w:r>
        <w:rPr>
          <w:rFonts w:hint="eastAsia" w:ascii="Times New Roman" w:hAnsi="Times New Roman" w:eastAsia="仿宋" w:cs="Times New Roman"/>
          <w:szCs w:val="21"/>
          <w:highlight w:val="none"/>
        </w:rPr>
        <w:drawing>
          <wp:inline distT="0" distB="0" distL="114300" distR="114300">
            <wp:extent cx="4428490" cy="2082165"/>
            <wp:effectExtent l="0" t="0" r="10160" b="13335"/>
            <wp:docPr id="4" name="图片 4" descr="173165992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31659920563"/>
                    <pic:cNvPicPr>
                      <a:picLocks noChangeAspect="1"/>
                    </pic:cNvPicPr>
                  </pic:nvPicPr>
                  <pic:blipFill>
                    <a:blip r:embed="rId4"/>
                    <a:stretch>
                      <a:fillRect/>
                    </a:stretch>
                  </pic:blipFill>
                  <pic:spPr>
                    <a:xfrm>
                      <a:off x="0" y="0"/>
                      <a:ext cx="4428490" cy="2082165"/>
                    </a:xfrm>
                    <a:prstGeom prst="rect">
                      <a:avLst/>
                    </a:prstGeom>
                  </pic:spPr>
                </pic:pic>
              </a:graphicData>
            </a:graphic>
          </wp:inline>
        </w:drawing>
      </w:r>
    </w:p>
    <w:p w14:paraId="6B1CAF0F">
      <w:pPr>
        <w:jc w:val="center"/>
        <w:rPr>
          <w:rFonts w:hint="eastAsia" w:ascii="宋体" w:hAnsi="宋体" w:eastAsia="宋体" w:cs="宋体"/>
          <w:sz w:val="24"/>
          <w:highlight w:val="none"/>
        </w:rPr>
      </w:pPr>
      <w:r>
        <w:rPr>
          <w:rFonts w:hint="eastAsia" w:ascii="宋体" w:hAnsi="宋体" w:eastAsia="宋体" w:cs="宋体"/>
          <w:sz w:val="24"/>
          <w:highlight w:val="none"/>
        </w:rPr>
        <w:t>图1 烟酰胺渗透率</w:t>
      </w:r>
    </w:p>
    <w:p w14:paraId="4674BBB9">
      <w:pPr>
        <w:jc w:val="center"/>
        <w:rPr>
          <w:rFonts w:hint="eastAsia" w:ascii="宋体" w:hAnsi="宋体" w:eastAsia="宋体" w:cs="宋体"/>
          <w:sz w:val="24"/>
          <w:highlight w:val="none"/>
        </w:rPr>
      </w:pPr>
      <w:r>
        <w:rPr>
          <w:rFonts w:ascii="宋体" w:hAnsi="宋体" w:eastAsia="宋体" w:cs="宋体"/>
          <w:sz w:val="24"/>
          <w:highlight w:val="none"/>
        </w:rPr>
        <w:drawing>
          <wp:inline distT="0" distB="0" distL="114300" distR="114300">
            <wp:extent cx="4584065" cy="2219960"/>
            <wp:effectExtent l="0" t="0" r="6985" b="8890"/>
            <wp:docPr id="3" name="图片 3" descr="173165944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31659449140"/>
                    <pic:cNvPicPr>
                      <a:picLocks noChangeAspect="1"/>
                    </pic:cNvPicPr>
                  </pic:nvPicPr>
                  <pic:blipFill>
                    <a:blip r:embed="rId5"/>
                    <a:stretch>
                      <a:fillRect/>
                    </a:stretch>
                  </pic:blipFill>
                  <pic:spPr>
                    <a:xfrm>
                      <a:off x="0" y="0"/>
                      <a:ext cx="4584065" cy="2219960"/>
                    </a:xfrm>
                    <a:prstGeom prst="rect">
                      <a:avLst/>
                    </a:prstGeom>
                  </pic:spPr>
                </pic:pic>
              </a:graphicData>
            </a:graphic>
          </wp:inline>
        </w:drawing>
      </w:r>
    </w:p>
    <w:p w14:paraId="075289FE">
      <w:pPr>
        <w:jc w:val="center"/>
        <w:rPr>
          <w:rFonts w:hint="eastAsia" w:ascii="宋体" w:hAnsi="宋体" w:eastAsia="宋体" w:cs="宋体"/>
          <w:sz w:val="24"/>
          <w:highlight w:val="none"/>
        </w:rPr>
      </w:pPr>
      <w:r>
        <w:rPr>
          <w:rFonts w:hint="eastAsia" w:ascii="宋体" w:hAnsi="宋体" w:eastAsia="宋体" w:cs="宋体"/>
          <w:sz w:val="24"/>
          <w:highlight w:val="none"/>
        </w:rPr>
        <w:t>图2 377渗透率</w:t>
      </w:r>
    </w:p>
    <w:p w14:paraId="04848A54">
      <w:pPr>
        <w:spacing w:line="360" w:lineRule="auto"/>
        <w:ind w:firstLine="480" w:firstLineChars="200"/>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三家实验室使用样品1（非促渗体系）和样品2（促渗体系）进行Franz扩散池法体外经皮</w:t>
      </w:r>
      <w:r>
        <w:rPr>
          <w:rFonts w:hint="eastAsia" w:ascii="Times New Roman" w:hAnsi="Times New Roman" w:cs="Times New Roman"/>
          <w:sz w:val="24"/>
          <w:highlight w:val="none"/>
        </w:rPr>
        <w:t>吸收</w:t>
      </w:r>
      <w:r>
        <w:rPr>
          <w:rFonts w:hint="eastAsia" w:ascii="Times New Roman" w:hAnsi="Times New Roman" w:eastAsia="宋体" w:cs="Times New Roman"/>
          <w:sz w:val="24"/>
          <w:highlight w:val="none"/>
        </w:rPr>
        <w:t>实验结果见表2、表3、图1和图2。使用独立样本T检验方法对渗透体系和非渗透体系渗透率进行显著性分析，结果显示，促渗体系中的烟酰胺和377的渗透率都显著高于非促渗体系。由于实验人员操作习惯与各实验室使用的实验器具存在一定程度的差异，所以不同验证机构同一样品中同一化合物之间渗透率也存在差异，但三家实验室实验结果趋势一致，并且各结果的回收率符合要求。</w:t>
      </w:r>
    </w:p>
    <w:p w14:paraId="6BBB5CB4">
      <w:pPr>
        <w:widowControl/>
        <w:spacing w:line="360" w:lineRule="auto"/>
        <w:outlineLvl w:val="2"/>
        <w:rPr>
          <w:rStyle w:val="33"/>
          <w:szCs w:val="22"/>
          <w:highlight w:val="none"/>
        </w:rPr>
      </w:pPr>
      <w:r>
        <w:rPr>
          <w:rStyle w:val="33"/>
          <w:rFonts w:hint="eastAsia"/>
          <w:szCs w:val="22"/>
          <w:highlight w:val="none"/>
        </w:rPr>
        <w:t>3.3.2 样品3试验结果分析</w:t>
      </w:r>
    </w:p>
    <w:p w14:paraId="0DE05B55">
      <w:pPr>
        <w:jc w:val="center"/>
        <w:rPr>
          <w:rStyle w:val="33"/>
          <w:szCs w:val="22"/>
          <w:highlight w:val="none"/>
        </w:rPr>
      </w:pPr>
      <w:r>
        <w:rPr>
          <w:rFonts w:hint="eastAsia" w:ascii="宋体" w:hAnsi="宋体" w:eastAsia="宋体" w:cs="宋体"/>
          <w:sz w:val="24"/>
          <w:highlight w:val="none"/>
        </w:rPr>
        <w:t>表4 各实验室荧光强度统计（均值±标准差，n≥4）</w:t>
      </w:r>
    </w:p>
    <w:tbl>
      <w:tblPr>
        <w:tblStyle w:val="11"/>
        <w:tblpPr w:leftFromText="180" w:rightFromText="180" w:vertAnchor="text" w:horzAnchor="page" w:tblpX="1800" w:tblpY="318"/>
        <w:tblOverlap w:val="never"/>
        <w:tblW w:w="89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1200"/>
        <w:gridCol w:w="1300"/>
        <w:gridCol w:w="968"/>
        <w:gridCol w:w="1257"/>
        <w:gridCol w:w="1011"/>
        <w:gridCol w:w="1239"/>
        <w:gridCol w:w="1033"/>
      </w:tblGrid>
      <w:tr w14:paraId="1219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Align w:val="center"/>
          </w:tcPr>
          <w:p w14:paraId="731C7BC1">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物质名称</w:t>
            </w:r>
          </w:p>
        </w:tc>
        <w:tc>
          <w:tcPr>
            <w:tcW w:w="1200" w:type="dxa"/>
            <w:vAlign w:val="center"/>
          </w:tcPr>
          <w:p w14:paraId="26C49DF1">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样品类别</w:t>
            </w:r>
          </w:p>
        </w:tc>
        <w:tc>
          <w:tcPr>
            <w:tcW w:w="1300" w:type="dxa"/>
            <w:vAlign w:val="center"/>
          </w:tcPr>
          <w:p w14:paraId="5FEBDFB8">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实验室A</w:t>
            </w:r>
          </w:p>
        </w:tc>
        <w:tc>
          <w:tcPr>
            <w:tcW w:w="968" w:type="dxa"/>
            <w:vAlign w:val="center"/>
          </w:tcPr>
          <w:p w14:paraId="76F28662">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P值</w:t>
            </w:r>
          </w:p>
        </w:tc>
        <w:tc>
          <w:tcPr>
            <w:tcW w:w="1257" w:type="dxa"/>
            <w:vAlign w:val="center"/>
          </w:tcPr>
          <w:p w14:paraId="511A570F">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实验室B</w:t>
            </w:r>
          </w:p>
        </w:tc>
        <w:tc>
          <w:tcPr>
            <w:tcW w:w="1011" w:type="dxa"/>
            <w:vAlign w:val="center"/>
          </w:tcPr>
          <w:p w14:paraId="7A8AC538">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P值</w:t>
            </w:r>
          </w:p>
        </w:tc>
        <w:tc>
          <w:tcPr>
            <w:tcW w:w="1239" w:type="dxa"/>
            <w:vAlign w:val="center"/>
          </w:tcPr>
          <w:p w14:paraId="38BCEF54">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实验室C</w:t>
            </w:r>
          </w:p>
        </w:tc>
        <w:tc>
          <w:tcPr>
            <w:tcW w:w="1033" w:type="dxa"/>
            <w:vAlign w:val="center"/>
          </w:tcPr>
          <w:p w14:paraId="43363844">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P值</w:t>
            </w:r>
          </w:p>
        </w:tc>
      </w:tr>
      <w:tr w14:paraId="5479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Merge w:val="restart"/>
            <w:vAlign w:val="center"/>
          </w:tcPr>
          <w:p w14:paraId="72596681">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10%视黄醇-辛酸癸酸甘油三酯</w:t>
            </w:r>
          </w:p>
        </w:tc>
        <w:tc>
          <w:tcPr>
            <w:tcW w:w="1200" w:type="dxa"/>
            <w:vAlign w:val="center"/>
          </w:tcPr>
          <w:p w14:paraId="6ABE465E">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空白对照</w:t>
            </w:r>
          </w:p>
        </w:tc>
        <w:tc>
          <w:tcPr>
            <w:tcW w:w="1300" w:type="dxa"/>
            <w:vAlign w:val="center"/>
          </w:tcPr>
          <w:p w14:paraId="209E6662">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1509.32±154.48</w:t>
            </w:r>
          </w:p>
        </w:tc>
        <w:tc>
          <w:tcPr>
            <w:tcW w:w="968" w:type="dxa"/>
            <w:vMerge w:val="restart"/>
            <w:vAlign w:val="center"/>
          </w:tcPr>
          <w:p w14:paraId="77CA7618">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0.006</w:t>
            </w:r>
          </w:p>
        </w:tc>
        <w:tc>
          <w:tcPr>
            <w:tcW w:w="1257" w:type="dxa"/>
            <w:vAlign w:val="center"/>
          </w:tcPr>
          <w:p w14:paraId="2D217546">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4079.40±427.24</w:t>
            </w:r>
          </w:p>
        </w:tc>
        <w:tc>
          <w:tcPr>
            <w:tcW w:w="1011" w:type="dxa"/>
            <w:vMerge w:val="restart"/>
            <w:vAlign w:val="center"/>
          </w:tcPr>
          <w:p w14:paraId="779CD053">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&lt;0.001</w:t>
            </w:r>
          </w:p>
        </w:tc>
        <w:tc>
          <w:tcPr>
            <w:tcW w:w="1239" w:type="dxa"/>
            <w:vAlign w:val="center"/>
          </w:tcPr>
          <w:p w14:paraId="55F0EE72">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29.50±11.37</w:t>
            </w:r>
          </w:p>
        </w:tc>
        <w:tc>
          <w:tcPr>
            <w:tcW w:w="1033" w:type="dxa"/>
            <w:vMerge w:val="restart"/>
            <w:vAlign w:val="center"/>
          </w:tcPr>
          <w:p w14:paraId="16F873A4">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0.011</w:t>
            </w:r>
          </w:p>
        </w:tc>
      </w:tr>
      <w:tr w14:paraId="0CBC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vMerge w:val="continue"/>
            <w:vAlign w:val="center"/>
          </w:tcPr>
          <w:p w14:paraId="46EB74EB">
            <w:pPr>
              <w:widowControl/>
              <w:spacing w:line="360" w:lineRule="auto"/>
              <w:jc w:val="center"/>
              <w:rPr>
                <w:rFonts w:ascii="Times New Roman" w:hAnsi="Times New Roman" w:eastAsia="宋体" w:cs="Times New Roman"/>
                <w:sz w:val="24"/>
                <w:szCs w:val="22"/>
                <w:highlight w:val="none"/>
              </w:rPr>
            </w:pPr>
          </w:p>
        </w:tc>
        <w:tc>
          <w:tcPr>
            <w:tcW w:w="1200" w:type="dxa"/>
            <w:vAlign w:val="center"/>
          </w:tcPr>
          <w:p w14:paraId="51F124CD">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实验组</w:t>
            </w:r>
          </w:p>
        </w:tc>
        <w:tc>
          <w:tcPr>
            <w:tcW w:w="1300" w:type="dxa"/>
            <w:vAlign w:val="center"/>
          </w:tcPr>
          <w:p w14:paraId="2B1DA69D">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1955.90±225.30</w:t>
            </w:r>
          </w:p>
        </w:tc>
        <w:tc>
          <w:tcPr>
            <w:tcW w:w="968" w:type="dxa"/>
            <w:vMerge w:val="continue"/>
            <w:vAlign w:val="center"/>
          </w:tcPr>
          <w:p w14:paraId="2B8D9C38">
            <w:pPr>
              <w:widowControl/>
              <w:spacing w:line="360" w:lineRule="auto"/>
              <w:jc w:val="center"/>
              <w:rPr>
                <w:rFonts w:ascii="Times New Roman" w:hAnsi="Times New Roman" w:eastAsia="宋体" w:cs="Times New Roman"/>
                <w:sz w:val="24"/>
                <w:szCs w:val="22"/>
                <w:highlight w:val="none"/>
              </w:rPr>
            </w:pPr>
          </w:p>
        </w:tc>
        <w:tc>
          <w:tcPr>
            <w:tcW w:w="1257" w:type="dxa"/>
            <w:vAlign w:val="center"/>
          </w:tcPr>
          <w:p w14:paraId="72AED93F">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7397.40±920.23</w:t>
            </w:r>
          </w:p>
        </w:tc>
        <w:tc>
          <w:tcPr>
            <w:tcW w:w="1011" w:type="dxa"/>
            <w:vMerge w:val="continue"/>
            <w:vAlign w:val="center"/>
          </w:tcPr>
          <w:p w14:paraId="38D13BF9">
            <w:pPr>
              <w:widowControl/>
              <w:spacing w:line="360" w:lineRule="auto"/>
              <w:jc w:val="center"/>
              <w:rPr>
                <w:rFonts w:ascii="Times New Roman" w:hAnsi="Times New Roman" w:eastAsia="宋体" w:cs="Times New Roman"/>
                <w:sz w:val="24"/>
                <w:szCs w:val="22"/>
                <w:highlight w:val="none"/>
              </w:rPr>
            </w:pPr>
          </w:p>
        </w:tc>
        <w:tc>
          <w:tcPr>
            <w:tcW w:w="1239" w:type="dxa"/>
            <w:vAlign w:val="center"/>
          </w:tcPr>
          <w:p w14:paraId="4DF6A37C">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48.72±6.19</w:t>
            </w:r>
          </w:p>
        </w:tc>
        <w:tc>
          <w:tcPr>
            <w:tcW w:w="1033" w:type="dxa"/>
            <w:vMerge w:val="continue"/>
            <w:vAlign w:val="center"/>
          </w:tcPr>
          <w:p w14:paraId="09EAB8B2">
            <w:pPr>
              <w:widowControl/>
              <w:spacing w:line="360" w:lineRule="auto"/>
              <w:jc w:val="center"/>
              <w:rPr>
                <w:rFonts w:ascii="Times New Roman" w:hAnsi="Times New Roman" w:eastAsia="宋体" w:cs="Times New Roman"/>
                <w:sz w:val="24"/>
                <w:szCs w:val="22"/>
                <w:highlight w:val="none"/>
              </w:rPr>
            </w:pPr>
          </w:p>
        </w:tc>
      </w:tr>
    </w:tbl>
    <w:p w14:paraId="2DF035AA">
      <w:pPr>
        <w:spacing w:line="360" w:lineRule="auto"/>
        <w:ind w:firstLine="480" w:firstLineChars="200"/>
        <w:jc w:val="center"/>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drawing>
          <wp:inline distT="0" distB="0" distL="114300" distR="114300">
            <wp:extent cx="3733800" cy="5951220"/>
            <wp:effectExtent l="0" t="0" r="0" b="1905"/>
            <wp:docPr id="2" name="图片 2" descr="173287884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32878843518"/>
                    <pic:cNvPicPr>
                      <a:picLocks noChangeAspect="1"/>
                    </pic:cNvPicPr>
                  </pic:nvPicPr>
                  <pic:blipFill>
                    <a:blip r:embed="rId6"/>
                    <a:stretch>
                      <a:fillRect/>
                    </a:stretch>
                  </pic:blipFill>
                  <pic:spPr>
                    <a:xfrm>
                      <a:off x="0" y="0"/>
                      <a:ext cx="3733800" cy="5951220"/>
                    </a:xfrm>
                    <a:prstGeom prst="rect">
                      <a:avLst/>
                    </a:prstGeom>
                  </pic:spPr>
                </pic:pic>
              </a:graphicData>
            </a:graphic>
          </wp:inline>
        </w:drawing>
      </w:r>
    </w:p>
    <w:p w14:paraId="734773ED">
      <w:pPr>
        <w:spacing w:line="360" w:lineRule="auto"/>
        <w:ind w:firstLine="420" w:firstLineChars="200"/>
        <w:jc w:val="center"/>
        <w:rPr>
          <w:rFonts w:ascii="Times New Roman"/>
          <w:szCs w:val="22"/>
          <w:highlight w:val="none"/>
        </w:rPr>
      </w:pPr>
      <w:r>
        <w:rPr>
          <w:rFonts w:hint="eastAsia" w:ascii="Times New Roman"/>
          <w:szCs w:val="22"/>
          <w:highlight w:val="none"/>
        </w:rPr>
        <w:t>图3 10%视黄醇-辛酸癸酸甘油三酯溶液透皮试验结果</w:t>
      </w:r>
    </w:p>
    <w:p w14:paraId="17373BA5">
      <w:pPr>
        <w:spacing w:line="360" w:lineRule="auto"/>
        <w:ind w:firstLine="480" w:firstLineChars="200"/>
        <w:rPr>
          <w:rFonts w:ascii="Times New Roman"/>
          <w:szCs w:val="22"/>
          <w:highlight w:val="none"/>
        </w:rPr>
      </w:pPr>
      <w:r>
        <w:rPr>
          <w:rFonts w:hint="eastAsia" w:ascii="Times New Roman" w:hAnsi="Times New Roman" w:eastAsia="宋体" w:cs="Times New Roman"/>
          <w:sz w:val="24"/>
          <w:highlight w:val="none"/>
        </w:rPr>
        <w:t>三家实验室使用样品3（</w:t>
      </w:r>
      <w:r>
        <w:rPr>
          <w:rFonts w:hint="eastAsia" w:ascii="Times New Roman" w:hAnsi="Times New Roman" w:eastAsia="宋体" w:cs="Times New Roman"/>
          <w:sz w:val="24"/>
          <w:szCs w:val="22"/>
          <w:highlight w:val="none"/>
        </w:rPr>
        <w:t>10%视黄醇-辛酸癸酸甘油三酯</w:t>
      </w:r>
      <w:r>
        <w:rPr>
          <w:rFonts w:hint="eastAsia" w:ascii="Times New Roman" w:hAnsi="Times New Roman" w:eastAsia="宋体" w:cs="Times New Roman"/>
          <w:sz w:val="24"/>
          <w:highlight w:val="none"/>
        </w:rPr>
        <w:t>）进行Franz扩散池法经皮</w:t>
      </w:r>
      <w:r>
        <w:rPr>
          <w:rFonts w:hint="eastAsia" w:ascii="Times New Roman" w:hAnsi="Times New Roman" w:cs="Times New Roman"/>
          <w:sz w:val="24"/>
          <w:highlight w:val="none"/>
        </w:rPr>
        <w:t>吸收</w:t>
      </w:r>
      <w:r>
        <w:rPr>
          <w:rFonts w:hint="eastAsia" w:ascii="Times New Roman" w:hAnsi="Times New Roman" w:eastAsia="宋体" w:cs="Times New Roman"/>
          <w:sz w:val="24"/>
          <w:highlight w:val="none"/>
        </w:rPr>
        <w:t>后，与空白对照组样品一起经由冷冻切片后使用荧光显微镜进行观察，荧光显微镜阅片结果见图3，荧光强度结果见表4。结果显示实验组荧光强度显著强于空白对照组，符合验证要求。</w:t>
      </w:r>
    </w:p>
    <w:p w14:paraId="3CF7D5D3">
      <w:pPr>
        <w:widowControl/>
        <w:spacing w:line="360" w:lineRule="auto"/>
        <w:outlineLvl w:val="2"/>
        <w:rPr>
          <w:rStyle w:val="33"/>
          <w:szCs w:val="22"/>
          <w:highlight w:val="none"/>
        </w:rPr>
      </w:pPr>
      <w:r>
        <w:rPr>
          <w:rStyle w:val="33"/>
          <w:rFonts w:hint="eastAsia"/>
          <w:szCs w:val="22"/>
          <w:highlight w:val="none"/>
        </w:rPr>
        <w:t>3.3.3 质控样品试验结果分析（仅用作实验室间数据收集）</w:t>
      </w:r>
    </w:p>
    <w:p w14:paraId="0AD2D1ED">
      <w:pPr>
        <w:jc w:val="center"/>
        <w:rPr>
          <w:rFonts w:hint="eastAsia" w:ascii="宋体" w:hAnsi="宋体" w:eastAsia="宋体" w:cs="宋体"/>
          <w:sz w:val="24"/>
          <w:highlight w:val="none"/>
        </w:rPr>
      </w:pPr>
      <w:r>
        <w:rPr>
          <w:rFonts w:hint="eastAsia" w:ascii="宋体" w:hAnsi="宋体" w:eastAsia="宋体" w:cs="宋体"/>
          <w:sz w:val="24"/>
          <w:highlight w:val="none"/>
        </w:rPr>
        <w:t>表5 苯甲酸渗透率统计表（均值±标准差，n≥4）</w:t>
      </w:r>
    </w:p>
    <w:tbl>
      <w:tblPr>
        <w:tblStyle w:val="11"/>
        <w:tblW w:w="7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1779"/>
        <w:gridCol w:w="1779"/>
        <w:gridCol w:w="1781"/>
      </w:tblGrid>
      <w:tr w14:paraId="7B93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3" w:type="dxa"/>
            <w:vAlign w:val="center"/>
          </w:tcPr>
          <w:p w14:paraId="54CC3582">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验证单位</w:t>
            </w:r>
          </w:p>
        </w:tc>
        <w:tc>
          <w:tcPr>
            <w:tcW w:w="1779" w:type="dxa"/>
            <w:vAlign w:val="center"/>
          </w:tcPr>
          <w:p w14:paraId="392D8FD9">
            <w:pPr>
              <w:widowControl/>
              <w:spacing w:line="360" w:lineRule="auto"/>
              <w:jc w:val="center"/>
              <w:rPr>
                <w:rFonts w:ascii="Times New Roman" w:hAnsi="Times New Roman" w:eastAsia="宋体" w:cs="Times New Roman"/>
                <w:sz w:val="24"/>
                <w:szCs w:val="22"/>
                <w:highlight w:val="none"/>
              </w:rPr>
            </w:pPr>
            <w:r>
              <w:rPr>
                <w:rFonts w:ascii="Times New Roman" w:hAnsi="Times New Roman" w:eastAsia="宋体" w:cs="Times New Roman"/>
                <w:sz w:val="24"/>
                <w:szCs w:val="22"/>
                <w:highlight w:val="none"/>
              </w:rPr>
              <w:t>实验室A</w:t>
            </w:r>
          </w:p>
        </w:tc>
        <w:tc>
          <w:tcPr>
            <w:tcW w:w="1779" w:type="dxa"/>
            <w:vAlign w:val="center"/>
          </w:tcPr>
          <w:p w14:paraId="23F44695">
            <w:pPr>
              <w:widowControl/>
              <w:spacing w:line="360" w:lineRule="auto"/>
              <w:jc w:val="center"/>
              <w:rPr>
                <w:rFonts w:ascii="Times New Roman" w:hAnsi="Times New Roman" w:eastAsia="宋体" w:cs="Times New Roman"/>
                <w:sz w:val="24"/>
                <w:szCs w:val="22"/>
                <w:highlight w:val="none"/>
              </w:rPr>
            </w:pPr>
            <w:r>
              <w:rPr>
                <w:rFonts w:ascii="Times New Roman" w:hAnsi="Times New Roman" w:eastAsia="宋体" w:cs="Times New Roman"/>
                <w:sz w:val="24"/>
                <w:szCs w:val="22"/>
                <w:highlight w:val="none"/>
              </w:rPr>
              <w:t>实验室B</w:t>
            </w:r>
          </w:p>
        </w:tc>
        <w:tc>
          <w:tcPr>
            <w:tcW w:w="1781" w:type="dxa"/>
            <w:vAlign w:val="center"/>
          </w:tcPr>
          <w:p w14:paraId="6D44984B">
            <w:pPr>
              <w:widowControl/>
              <w:spacing w:line="360" w:lineRule="auto"/>
              <w:jc w:val="center"/>
              <w:rPr>
                <w:rFonts w:ascii="Times New Roman" w:hAnsi="Times New Roman" w:eastAsia="宋体" w:cs="Times New Roman"/>
                <w:sz w:val="24"/>
                <w:szCs w:val="22"/>
                <w:highlight w:val="none"/>
              </w:rPr>
            </w:pPr>
            <w:r>
              <w:rPr>
                <w:rFonts w:ascii="Times New Roman" w:hAnsi="Times New Roman" w:eastAsia="宋体" w:cs="Times New Roman"/>
                <w:sz w:val="24"/>
                <w:szCs w:val="22"/>
                <w:highlight w:val="none"/>
              </w:rPr>
              <w:t>实验室C</w:t>
            </w:r>
          </w:p>
        </w:tc>
      </w:tr>
      <w:tr w14:paraId="390C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3" w:type="dxa"/>
            <w:vAlign w:val="center"/>
          </w:tcPr>
          <w:p w14:paraId="6266D606">
            <w:pPr>
              <w:widowControl/>
              <w:spacing w:line="360" w:lineRule="auto"/>
              <w:jc w:val="center"/>
              <w:rPr>
                <w:rFonts w:ascii="Times New Roman" w:hAnsi="Times New Roman" w:eastAsia="宋体" w:cs="Times New Roman"/>
                <w:sz w:val="24"/>
                <w:szCs w:val="22"/>
                <w:highlight w:val="none"/>
              </w:rPr>
            </w:pPr>
            <w:r>
              <w:rPr>
                <w:rFonts w:hint="eastAsia" w:ascii="Times New Roman" w:hAnsi="Times New Roman" w:eastAsia="宋体" w:cs="Times New Roman"/>
                <w:sz w:val="24"/>
                <w:szCs w:val="22"/>
                <w:highlight w:val="none"/>
              </w:rPr>
              <w:t>渗透率%</w:t>
            </w:r>
          </w:p>
        </w:tc>
        <w:tc>
          <w:tcPr>
            <w:tcW w:w="1779" w:type="dxa"/>
            <w:vAlign w:val="center"/>
          </w:tcPr>
          <w:p w14:paraId="1E2D8D75">
            <w:pPr>
              <w:widowControl/>
              <w:jc w:val="center"/>
              <w:textAlignment w:val="center"/>
              <w:rPr>
                <w:rFonts w:ascii="Times New Roman" w:hAnsi="Times New Roman" w:eastAsia="宋体" w:cs="Times New Roman"/>
                <w:sz w:val="24"/>
                <w:szCs w:val="22"/>
                <w:highlight w:val="none"/>
              </w:rPr>
            </w:pPr>
            <w:r>
              <w:rPr>
                <w:rFonts w:hint="eastAsia" w:ascii="Times New Roman" w:hAnsi="Times New Roman" w:eastAsia="宋体" w:cs="Times New Roman"/>
                <w:color w:val="000000"/>
                <w:kern w:val="0"/>
                <w:sz w:val="22"/>
                <w:szCs w:val="22"/>
                <w:highlight w:val="none"/>
                <w:lang w:bidi="ar"/>
              </w:rPr>
              <w:t>89.64±6.05</w:t>
            </w:r>
          </w:p>
        </w:tc>
        <w:tc>
          <w:tcPr>
            <w:tcW w:w="1779" w:type="dxa"/>
            <w:vAlign w:val="center"/>
          </w:tcPr>
          <w:p w14:paraId="54987CD9">
            <w:pPr>
              <w:widowControl/>
              <w:jc w:val="center"/>
              <w:textAlignment w:val="center"/>
              <w:rPr>
                <w:rFonts w:ascii="Times New Roman" w:hAnsi="Times New Roman" w:eastAsia="宋体" w:cs="Times New Roman"/>
                <w:sz w:val="24"/>
                <w:szCs w:val="22"/>
                <w:highlight w:val="none"/>
              </w:rPr>
            </w:pPr>
            <w:r>
              <w:rPr>
                <w:rFonts w:hint="eastAsia" w:ascii="Times New Roman" w:hAnsi="Times New Roman" w:eastAsia="宋体" w:cs="Times New Roman"/>
                <w:color w:val="000000"/>
                <w:kern w:val="0"/>
                <w:sz w:val="22"/>
                <w:szCs w:val="22"/>
                <w:highlight w:val="none"/>
                <w:lang w:bidi="ar"/>
              </w:rPr>
              <w:t>42.02±22.04</w:t>
            </w:r>
          </w:p>
        </w:tc>
        <w:tc>
          <w:tcPr>
            <w:tcW w:w="1781" w:type="dxa"/>
            <w:vAlign w:val="center"/>
          </w:tcPr>
          <w:p w14:paraId="78FA6546">
            <w:pPr>
              <w:widowControl/>
              <w:jc w:val="center"/>
              <w:textAlignment w:val="center"/>
              <w:rPr>
                <w:rFonts w:ascii="Times New Roman" w:hAnsi="Times New Roman" w:eastAsia="宋体" w:cs="Times New Roman"/>
                <w:sz w:val="24"/>
                <w:szCs w:val="22"/>
                <w:highlight w:val="none"/>
              </w:rPr>
            </w:pPr>
            <w:r>
              <w:rPr>
                <w:rFonts w:hint="eastAsia" w:ascii="Times New Roman" w:hAnsi="Times New Roman" w:eastAsia="宋体" w:cs="Times New Roman"/>
                <w:color w:val="000000"/>
                <w:kern w:val="0"/>
                <w:sz w:val="22"/>
                <w:szCs w:val="22"/>
                <w:highlight w:val="none"/>
                <w:lang w:bidi="ar"/>
              </w:rPr>
              <w:t>67.55±16.41</w:t>
            </w:r>
          </w:p>
        </w:tc>
      </w:tr>
    </w:tbl>
    <w:p w14:paraId="21B981F2">
      <w:pPr>
        <w:spacing w:line="360" w:lineRule="auto"/>
        <w:ind w:firstLine="480" w:firstLineChars="200"/>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三家实验室关于实验室质控样品苯甲酸的透皮吸收结果如表5所示，三家实验室之间苯甲酸的渗透率存在区别，结合表3中烟酰胺、377来看，实验室间苯甲酸渗透率的差别一定程度上能反映出实验样品的渗透率差别，例如实验室A苯甲酸渗透率远高于实验室B，而在样品1和2中，实验室A烟酰胺和377的渗透率也远远高于实验室B。</w:t>
      </w:r>
    </w:p>
    <w:p w14:paraId="64BAE21A">
      <w:pPr>
        <w:spacing w:line="360" w:lineRule="auto"/>
        <w:ind w:firstLine="480" w:firstLineChars="200"/>
        <w:rPr>
          <w:rFonts w:ascii="Times New Roman" w:hAnsi="Times New Roman" w:eastAsia="仿宋" w:cs="Times New Roman"/>
          <w:szCs w:val="21"/>
          <w:highlight w:val="none"/>
        </w:rPr>
      </w:pPr>
      <w:r>
        <w:rPr>
          <w:rFonts w:hint="eastAsia" w:ascii="Times New Roman" w:hAnsi="Times New Roman" w:eastAsia="宋体" w:cs="Times New Roman"/>
          <w:sz w:val="24"/>
          <w:highlight w:val="none"/>
        </w:rPr>
        <w:t>因此使用苯甲酸作为质控样品是可行的，在实验室内其渗透保持较为稳定的情况下，还能一定程度反映出实验室间的差别。</w:t>
      </w:r>
    </w:p>
    <w:p w14:paraId="7080DA55">
      <w:pPr>
        <w:pStyle w:val="2"/>
        <w:numPr>
          <w:ilvl w:val="0"/>
          <w:numId w:val="3"/>
        </w:numPr>
        <w:rPr>
          <w:highlight w:val="none"/>
        </w:rPr>
      </w:pPr>
      <w:r>
        <w:rPr>
          <w:rFonts w:hint="eastAsia"/>
          <w:highlight w:val="none"/>
        </w:rPr>
        <w:t>方法</w:t>
      </w:r>
      <w:r>
        <w:rPr>
          <w:highlight w:val="none"/>
        </w:rPr>
        <w:t>中涉及专利的情况</w:t>
      </w:r>
    </w:p>
    <w:p w14:paraId="1A44D562">
      <w:pPr>
        <w:spacing w:line="360" w:lineRule="auto"/>
        <w:ind w:firstLine="480" w:firstLineChars="200"/>
        <w:rPr>
          <w:rFonts w:ascii="Times New Roman" w:hAnsi="Times New Roman" w:eastAsia="宋体" w:cs="Times New Roman"/>
          <w:sz w:val="24"/>
          <w:highlight w:val="none"/>
        </w:rPr>
      </w:pPr>
      <w:r>
        <w:rPr>
          <w:rFonts w:hint="eastAsia" w:ascii="Times New Roman" w:hAnsi="Times New Roman" w:eastAsia="宋体" w:cs="Times New Roman"/>
          <w:sz w:val="24"/>
          <w:highlight w:val="none"/>
        </w:rPr>
        <w:t>本方法不涉及专利问题。</w:t>
      </w:r>
    </w:p>
    <w:p w14:paraId="5DBAD6A8">
      <w:pPr>
        <w:pStyle w:val="2"/>
        <w:numPr>
          <w:ilvl w:val="0"/>
          <w:numId w:val="3"/>
        </w:numPr>
        <w:rPr>
          <w:highlight w:val="none"/>
        </w:rPr>
      </w:pPr>
      <w:r>
        <w:rPr>
          <w:rFonts w:hint="eastAsia"/>
          <w:highlight w:val="none"/>
        </w:rPr>
        <w:t>与国际、国外对比情况</w:t>
      </w:r>
    </w:p>
    <w:p w14:paraId="63C9E4DD">
      <w:pPr>
        <w:spacing w:line="360" w:lineRule="auto"/>
        <w:ind w:firstLine="480" w:firstLineChars="200"/>
        <w:rPr>
          <w:rFonts w:ascii="Times New Roman"/>
          <w:sz w:val="24"/>
          <w:highlight w:val="none"/>
        </w:rPr>
      </w:pPr>
      <w:r>
        <w:rPr>
          <w:rFonts w:hint="eastAsia" w:ascii="Times New Roman" w:hAnsi="Times New Roman" w:eastAsia="宋体" w:cs="Times New Roman"/>
          <w:sz w:val="24"/>
          <w:highlight w:val="none"/>
        </w:rPr>
        <w:t>目前国内化妆品相关的体外经皮</w:t>
      </w:r>
      <w:r>
        <w:rPr>
          <w:rFonts w:hint="eastAsia" w:ascii="Times New Roman" w:hAnsi="Times New Roman" w:eastAsia="宋体" w:cs="Times New Roman"/>
          <w:sz w:val="24"/>
          <w:highlight w:val="none"/>
          <w:lang w:val="en-US" w:eastAsia="zh-CN"/>
        </w:rPr>
        <w:t>吸收</w:t>
      </w:r>
      <w:r>
        <w:rPr>
          <w:rFonts w:hint="eastAsia" w:ascii="Times New Roman" w:hAnsi="Times New Roman" w:eastAsia="宋体" w:cs="Times New Roman"/>
          <w:sz w:val="24"/>
          <w:highlight w:val="none"/>
        </w:rPr>
        <w:t>研究通常是参照GB/T 27818-2011《化学品 皮肤吸收 体外试验方法》来进行的，它是由</w:t>
      </w:r>
      <w:bookmarkStart w:id="5" w:name="OLE_LINK4"/>
      <w:r>
        <w:rPr>
          <w:rFonts w:hint="eastAsia" w:ascii="Times New Roman" w:hAnsi="Times New Roman" w:eastAsia="宋体" w:cs="Times New Roman"/>
          <w:sz w:val="24"/>
          <w:highlight w:val="none"/>
        </w:rPr>
        <w:t>经济合作与发展组织(OECD)化学品测试方法 No.428(2004《皮肤吸收：体外试验》</w:t>
      </w:r>
      <w:bookmarkEnd w:id="5"/>
      <w:r>
        <w:rPr>
          <w:rFonts w:hint="eastAsia" w:ascii="Times New Roman" w:hAnsi="Times New Roman" w:eastAsia="宋体" w:cs="Times New Roman"/>
          <w:sz w:val="24"/>
          <w:highlight w:val="none"/>
        </w:rPr>
        <w:t>（英文版）转化而来。该标准是一个框架指导性标准，缺少对于实验细节的指导，可操作性不强。此外，标准中指出受试物最好做放射性标记，而此类检测方法，不管是放射性材料还是实验器材，成本都比较高，对实验条件要求也比较高，操作难度大，更重要的是，采用该方法来检测化妆品中活性成分，可能会改变成分，导致检测结果不准确。同时，工作组还查阅到了一些国外与体外经皮渗透相关的指南或方法，例如由SCCS 发布的</w:t>
      </w:r>
      <w:r>
        <w:rPr>
          <w:rFonts w:hint="eastAsia" w:ascii="Times New Roman"/>
          <w:highlight w:val="none"/>
        </w:rPr>
        <w:t xml:space="preserve"> 《</w:t>
      </w:r>
      <w:r>
        <w:rPr>
          <w:rFonts w:hint="eastAsia" w:ascii="Times New Roman"/>
          <w:sz w:val="24"/>
          <w:highlight w:val="none"/>
        </w:rPr>
        <w:t>Basic criteria for the in vitro assessment of dermal absorption of cosmetic ingredients</w:t>
      </w:r>
      <w:r>
        <w:rPr>
          <w:rFonts w:hint="eastAsia" w:ascii="Times New Roman"/>
          <w:highlight w:val="none"/>
        </w:rPr>
        <w:t>》</w:t>
      </w:r>
      <w:r>
        <w:rPr>
          <w:rFonts w:hint="eastAsia" w:ascii="Times New Roman"/>
          <w:sz w:val="24"/>
          <w:highlight w:val="none"/>
        </w:rPr>
        <w:t>和EFSA发布的《Guidance on dermal absorption》，内容丰富，包含了很多对于实验细节的规定，但同时不同文件中对于同一内容的描述存在差异。</w:t>
      </w:r>
    </w:p>
    <w:p w14:paraId="535DD976">
      <w:pPr>
        <w:spacing w:line="360" w:lineRule="auto"/>
        <w:ind w:firstLine="480" w:firstLineChars="200"/>
        <w:rPr>
          <w:rFonts w:ascii="Times New Roman" w:hAnsi="Times New Roman" w:eastAsia="宋体" w:cs="Times New Roman"/>
          <w:sz w:val="24"/>
          <w:highlight w:val="none"/>
        </w:rPr>
      </w:pPr>
      <w:r>
        <w:rPr>
          <w:rFonts w:hint="eastAsia" w:ascii="Times New Roman"/>
          <w:sz w:val="24"/>
          <w:highlight w:val="none"/>
        </w:rPr>
        <w:t>本指南在</w:t>
      </w:r>
      <w:r>
        <w:rPr>
          <w:rFonts w:hint="eastAsia" w:ascii="Times New Roman" w:hAnsi="Times New Roman" w:eastAsia="宋体" w:cs="Times New Roman"/>
          <w:sz w:val="24"/>
          <w:highlight w:val="none"/>
        </w:rPr>
        <w:t>在参考GB/T 27818-2011《化学品 皮肤吸收 体外试验方法》的基础上，同时参考上述OCED、SCCS与EFSA相关文件，并结合各实验室进行相关研究时的相关经验与实际情况，专门针对化妆品及化妆品原料经皮吸收试验建立本指南，更具有行业针对性。相较于目前的GB/T 27818-2011，本指南对试验方法规定更具体，对于试验条件的选择做了更为详细的描述，可操作性更强，试验成本更低。</w:t>
      </w:r>
    </w:p>
    <w:p w14:paraId="526C6247">
      <w:pPr>
        <w:pStyle w:val="2"/>
        <w:numPr>
          <w:ilvl w:val="0"/>
          <w:numId w:val="3"/>
        </w:numPr>
        <w:rPr>
          <w:highlight w:val="none"/>
        </w:rPr>
      </w:pPr>
      <w:r>
        <w:rPr>
          <w:highlight w:val="none"/>
        </w:rPr>
        <w:t>与现行相关法律、法规、规章及相关标准，特别是强制性标准的协调性</w:t>
      </w:r>
    </w:p>
    <w:p w14:paraId="2303128A">
      <w:pPr>
        <w:spacing w:line="360" w:lineRule="auto"/>
        <w:ind w:firstLine="480" w:firstLineChars="200"/>
        <w:rPr>
          <w:highlight w:val="none"/>
        </w:rPr>
      </w:pPr>
      <w:r>
        <w:rPr>
          <w:rFonts w:ascii="Times New Roman" w:hAnsi="Times New Roman" w:cs="Times New Roman"/>
          <w:kern w:val="0"/>
          <w:sz w:val="24"/>
          <w:szCs w:val="20"/>
          <w:highlight w:val="none"/>
        </w:rPr>
        <w:t>本标准与现行相关法律、法规、规章及相关标准协调一致。</w:t>
      </w:r>
    </w:p>
    <w:p w14:paraId="47EAFC51">
      <w:pPr>
        <w:pStyle w:val="2"/>
        <w:numPr>
          <w:ilvl w:val="0"/>
          <w:numId w:val="3"/>
        </w:numPr>
        <w:rPr>
          <w:highlight w:val="none"/>
        </w:rPr>
      </w:pPr>
      <w:r>
        <w:rPr>
          <w:highlight w:val="none"/>
        </w:rPr>
        <w:t>重大分歧意见的处理经过和依据</w:t>
      </w:r>
    </w:p>
    <w:p w14:paraId="1CDE9482">
      <w:pPr>
        <w:ind w:left="420" w:leftChars="200"/>
        <w:rPr>
          <w:highlight w:val="none"/>
        </w:rPr>
      </w:pPr>
      <w:r>
        <w:rPr>
          <w:rFonts w:hint="eastAsia"/>
          <w:highlight w:val="none"/>
        </w:rPr>
        <w:t>无。</w:t>
      </w:r>
    </w:p>
    <w:p w14:paraId="21F3F3FA">
      <w:pPr>
        <w:pStyle w:val="2"/>
        <w:numPr>
          <w:ilvl w:val="0"/>
          <w:numId w:val="3"/>
        </w:numPr>
        <w:rPr>
          <w:highlight w:val="none"/>
        </w:rPr>
      </w:pPr>
      <w:r>
        <w:rPr>
          <w:highlight w:val="none"/>
        </w:rPr>
        <w:t>标准性质的建议说明</w:t>
      </w:r>
    </w:p>
    <w:p w14:paraId="26E392DE">
      <w:pPr>
        <w:ind w:left="420" w:leftChars="200"/>
        <w:rPr>
          <w:highlight w:val="none"/>
        </w:rPr>
      </w:pPr>
      <w:r>
        <w:rPr>
          <w:rFonts w:hint="eastAsia"/>
          <w:sz w:val="28"/>
          <w:highlight w:val="none"/>
        </w:rPr>
        <w:t>建议本文件的性质为指南。</w:t>
      </w:r>
    </w:p>
    <w:p w14:paraId="03860859">
      <w:pPr>
        <w:pStyle w:val="2"/>
        <w:numPr>
          <w:ilvl w:val="0"/>
          <w:numId w:val="3"/>
        </w:numPr>
        <w:rPr>
          <w:highlight w:val="none"/>
        </w:rPr>
      </w:pPr>
      <w:r>
        <w:rPr>
          <w:highlight w:val="none"/>
        </w:rPr>
        <w:t>废止现行相关标准的建议</w:t>
      </w:r>
    </w:p>
    <w:p w14:paraId="47FAEC90">
      <w:pPr>
        <w:ind w:left="420" w:leftChars="200"/>
        <w:rPr>
          <w:sz w:val="28"/>
          <w:highlight w:val="none"/>
        </w:rPr>
      </w:pPr>
      <w:r>
        <w:rPr>
          <w:rFonts w:hint="eastAsia"/>
          <w:sz w:val="28"/>
          <w:highlight w:val="none"/>
        </w:rPr>
        <w:t>无。</w:t>
      </w:r>
    </w:p>
    <w:p w14:paraId="00522CEE">
      <w:pPr>
        <w:rPr>
          <w:sz w:val="28"/>
          <w:highlight w:val="none"/>
        </w:rPr>
      </w:pPr>
    </w:p>
    <w:p w14:paraId="6B92470D">
      <w:pPr>
        <w:ind w:firstLine="640" w:firstLineChars="200"/>
        <w:rPr>
          <w:rFonts w:hint="eastAsia" w:ascii="仿宋" w:hAnsi="仿宋" w:eastAsia="仿宋" w:cs="仿宋"/>
          <w:sz w:val="32"/>
          <w:szCs w:val="32"/>
          <w:highlight w:val="none"/>
        </w:rPr>
      </w:pPr>
    </w:p>
    <w:p w14:paraId="65BCBE73">
      <w:pPr>
        <w:ind w:firstLine="640" w:firstLineChars="200"/>
        <w:rPr>
          <w:rFonts w:hint="eastAsia" w:ascii="仿宋" w:hAnsi="仿宋" w:eastAsia="仿宋" w:cs="仿宋"/>
          <w:sz w:val="32"/>
          <w:szCs w:val="32"/>
          <w:highlight w:val="none"/>
        </w:rPr>
      </w:pPr>
    </w:p>
    <w:p w14:paraId="14E32C41">
      <w:pPr>
        <w:ind w:firstLine="640" w:firstLineChars="200"/>
        <w:jc w:val="right"/>
        <w:rPr>
          <w:rFonts w:hint="eastAsia" w:ascii="仿宋" w:hAnsi="仿宋" w:eastAsia="仿宋" w:cs="仿宋"/>
          <w:sz w:val="32"/>
          <w:szCs w:val="32"/>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3CECE4"/>
    <w:multiLevelType w:val="singleLevel"/>
    <w:tmpl w:val="2A3CECE4"/>
    <w:lvl w:ilvl="0" w:tentative="0">
      <w:start w:val="1"/>
      <w:numFmt w:val="lowerLetter"/>
      <w:suff w:val="space"/>
      <w:lvlText w:val="%1)"/>
      <w:lvlJc w:val="left"/>
    </w:lvl>
  </w:abstractNum>
  <w:abstractNum w:abstractNumId="1">
    <w:nsid w:val="6156F866"/>
    <w:multiLevelType w:val="singleLevel"/>
    <w:tmpl w:val="6156F866"/>
    <w:lvl w:ilvl="0" w:tentative="0">
      <w:start w:val="2"/>
      <w:numFmt w:val="chineseCounting"/>
      <w:suff w:val="nothing"/>
      <w:lvlText w:val="%1、"/>
      <w:lvlJc w:val="left"/>
      <w:rPr>
        <w:rFonts w:hint="eastAsia"/>
      </w:rPr>
    </w:lvl>
  </w:abstractNum>
  <w:abstractNum w:abstractNumId="2">
    <w:nsid w:val="6CEA2025"/>
    <w:multiLevelType w:val="multilevel"/>
    <w:tmpl w:val="6CEA2025"/>
    <w:lvl w:ilvl="0" w:tentative="0">
      <w:start w:val="1"/>
      <w:numFmt w:val="none"/>
      <w:pStyle w:val="26"/>
      <w:suff w:val="nothing"/>
      <w:lvlText w:val="%1"/>
      <w:lvlJc w:val="left"/>
      <w:pPr>
        <w:ind w:left="0" w:firstLine="0"/>
      </w:pPr>
      <w:rPr>
        <w:rFonts w:hint="eastAsia"/>
      </w:rPr>
    </w:lvl>
    <w:lvl w:ilvl="1" w:tentative="0">
      <w:start w:val="1"/>
      <w:numFmt w:val="decimal"/>
      <w:pStyle w:val="24"/>
      <w:suff w:val="nothing"/>
      <w:lvlText w:val="%1%2　"/>
      <w:lvlJc w:val="left"/>
      <w:pPr>
        <w:ind w:left="0" w:firstLine="0"/>
      </w:pPr>
      <w:rPr>
        <w:rFonts w:hint="eastAsia" w:ascii="黑体" w:eastAsia="黑体"/>
        <w:b w:val="0"/>
        <w:i w:val="0"/>
        <w:sz w:val="21"/>
      </w:rPr>
    </w:lvl>
    <w:lvl w:ilvl="2" w:tentative="0">
      <w:start w:val="1"/>
      <w:numFmt w:val="decimal"/>
      <w:pStyle w:val="2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20"/>
      <w:suff w:val="nothing"/>
      <w:lvlText w:val="%1%2.%3.%4　"/>
      <w:lvlJc w:val="left"/>
      <w:pPr>
        <w:ind w:left="0" w:firstLine="0"/>
      </w:pPr>
      <w:rPr>
        <w:rFonts w:hint="eastAsia" w:ascii="黑体" w:eastAsia="黑体"/>
        <w:b w:val="0"/>
        <w:i w:val="0"/>
        <w:sz w:val="21"/>
      </w:rPr>
    </w:lvl>
    <w:lvl w:ilvl="4" w:tentative="0">
      <w:start w:val="1"/>
      <w:numFmt w:val="decimal"/>
      <w:pStyle w:val="21"/>
      <w:suff w:val="nothing"/>
      <w:lvlText w:val="%1%2.%3.%4.%5　"/>
      <w:lvlJc w:val="left"/>
      <w:pPr>
        <w:ind w:left="0" w:firstLine="0"/>
      </w:pPr>
      <w:rPr>
        <w:rFonts w:hint="eastAsia" w:ascii="黑体" w:eastAsia="黑体"/>
        <w:b w:val="0"/>
        <w:i w:val="0"/>
        <w:sz w:val="21"/>
      </w:rPr>
    </w:lvl>
    <w:lvl w:ilvl="5" w:tentative="0">
      <w:start w:val="1"/>
      <w:numFmt w:val="decimal"/>
      <w:pStyle w:val="22"/>
      <w:suff w:val="nothing"/>
      <w:lvlText w:val="%1%2.%3.%4.%5.%6　"/>
      <w:lvlJc w:val="left"/>
      <w:pPr>
        <w:ind w:left="0" w:firstLine="0"/>
      </w:pPr>
      <w:rPr>
        <w:rFonts w:hint="eastAsia" w:ascii="黑体" w:eastAsia="黑体"/>
        <w:b w:val="0"/>
        <w:i w:val="0"/>
        <w:sz w:val="21"/>
      </w:rPr>
    </w:lvl>
    <w:lvl w:ilvl="6" w:tentative="0">
      <w:start w:val="1"/>
      <w:numFmt w:val="decimal"/>
      <w:pStyle w:val="2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jI2NrO0sDAztTAxNTZQ0lEKTi0uzszPAykwsqgFABnv5x8tAAAA"/>
    <w:docVar w:name="commondata" w:val="eyJoZGlkIjoiNWZlNDUyZTJmODQwODczNGYwYmEzOGNjMDg5NzUwZjEifQ=="/>
  </w:docVars>
  <w:rsids>
    <w:rsidRoot w:val="00D93794"/>
    <w:rsid w:val="00000C06"/>
    <w:rsid w:val="0000146A"/>
    <w:rsid w:val="0001253D"/>
    <w:rsid w:val="0001772E"/>
    <w:rsid w:val="00024F3E"/>
    <w:rsid w:val="00025575"/>
    <w:rsid w:val="0008058E"/>
    <w:rsid w:val="000B44DD"/>
    <w:rsid w:val="000B6578"/>
    <w:rsid w:val="000C66E2"/>
    <w:rsid w:val="000D6A1D"/>
    <w:rsid w:val="00110622"/>
    <w:rsid w:val="00112496"/>
    <w:rsid w:val="00115F69"/>
    <w:rsid w:val="00124B04"/>
    <w:rsid w:val="00131C69"/>
    <w:rsid w:val="0013709F"/>
    <w:rsid w:val="00147331"/>
    <w:rsid w:val="00196AA8"/>
    <w:rsid w:val="001B21CA"/>
    <w:rsid w:val="001B6F8D"/>
    <w:rsid w:val="001C43AE"/>
    <w:rsid w:val="001E180D"/>
    <w:rsid w:val="00213C00"/>
    <w:rsid w:val="002141BE"/>
    <w:rsid w:val="0021583A"/>
    <w:rsid w:val="002205A8"/>
    <w:rsid w:val="00232045"/>
    <w:rsid w:val="00286188"/>
    <w:rsid w:val="002F33B7"/>
    <w:rsid w:val="00301BFA"/>
    <w:rsid w:val="00335E0D"/>
    <w:rsid w:val="00376B7A"/>
    <w:rsid w:val="00377A79"/>
    <w:rsid w:val="00390F6E"/>
    <w:rsid w:val="003B7C5E"/>
    <w:rsid w:val="003C0A84"/>
    <w:rsid w:val="00407F9C"/>
    <w:rsid w:val="00427501"/>
    <w:rsid w:val="00430C20"/>
    <w:rsid w:val="004468BF"/>
    <w:rsid w:val="00461D57"/>
    <w:rsid w:val="00463F7E"/>
    <w:rsid w:val="00466A2F"/>
    <w:rsid w:val="004755D8"/>
    <w:rsid w:val="00483F16"/>
    <w:rsid w:val="004D543C"/>
    <w:rsid w:val="00526FDC"/>
    <w:rsid w:val="00544CB8"/>
    <w:rsid w:val="0055193B"/>
    <w:rsid w:val="005631DF"/>
    <w:rsid w:val="00572822"/>
    <w:rsid w:val="005963E8"/>
    <w:rsid w:val="005F2D97"/>
    <w:rsid w:val="00611879"/>
    <w:rsid w:val="00624060"/>
    <w:rsid w:val="00642B5E"/>
    <w:rsid w:val="00682B91"/>
    <w:rsid w:val="00685786"/>
    <w:rsid w:val="006955FD"/>
    <w:rsid w:val="006D0538"/>
    <w:rsid w:val="006D2DAB"/>
    <w:rsid w:val="006F4C45"/>
    <w:rsid w:val="00701BF7"/>
    <w:rsid w:val="0074051F"/>
    <w:rsid w:val="00763618"/>
    <w:rsid w:val="007A23D0"/>
    <w:rsid w:val="007A5BA4"/>
    <w:rsid w:val="007A6795"/>
    <w:rsid w:val="00842317"/>
    <w:rsid w:val="00853552"/>
    <w:rsid w:val="00863F2B"/>
    <w:rsid w:val="00877186"/>
    <w:rsid w:val="00887AD9"/>
    <w:rsid w:val="00887B35"/>
    <w:rsid w:val="0089536D"/>
    <w:rsid w:val="00895399"/>
    <w:rsid w:val="008E1312"/>
    <w:rsid w:val="008E1C0F"/>
    <w:rsid w:val="009064AB"/>
    <w:rsid w:val="009242AB"/>
    <w:rsid w:val="00927714"/>
    <w:rsid w:val="0095480E"/>
    <w:rsid w:val="00984A04"/>
    <w:rsid w:val="00984A5B"/>
    <w:rsid w:val="00986377"/>
    <w:rsid w:val="00994635"/>
    <w:rsid w:val="009A54F8"/>
    <w:rsid w:val="009C37FF"/>
    <w:rsid w:val="009E3F44"/>
    <w:rsid w:val="00A06415"/>
    <w:rsid w:val="00A30787"/>
    <w:rsid w:val="00A35063"/>
    <w:rsid w:val="00A46EA7"/>
    <w:rsid w:val="00A77A92"/>
    <w:rsid w:val="00AF0643"/>
    <w:rsid w:val="00AF0C58"/>
    <w:rsid w:val="00AF3BC6"/>
    <w:rsid w:val="00B00C33"/>
    <w:rsid w:val="00B25AB9"/>
    <w:rsid w:val="00B70B94"/>
    <w:rsid w:val="00B9635A"/>
    <w:rsid w:val="00BD2C75"/>
    <w:rsid w:val="00BD5408"/>
    <w:rsid w:val="00C0252A"/>
    <w:rsid w:val="00C221B5"/>
    <w:rsid w:val="00C33E1B"/>
    <w:rsid w:val="00C41277"/>
    <w:rsid w:val="00C42C23"/>
    <w:rsid w:val="00C70F6F"/>
    <w:rsid w:val="00C72EA9"/>
    <w:rsid w:val="00C9296C"/>
    <w:rsid w:val="00C943CA"/>
    <w:rsid w:val="00CA7A87"/>
    <w:rsid w:val="00CB26D0"/>
    <w:rsid w:val="00D13A56"/>
    <w:rsid w:val="00D17B2E"/>
    <w:rsid w:val="00D762F7"/>
    <w:rsid w:val="00D90CC8"/>
    <w:rsid w:val="00D93794"/>
    <w:rsid w:val="00DB5E3B"/>
    <w:rsid w:val="00DC4DA8"/>
    <w:rsid w:val="00DC6D69"/>
    <w:rsid w:val="00DC7B98"/>
    <w:rsid w:val="00DD4BF0"/>
    <w:rsid w:val="00DF2F30"/>
    <w:rsid w:val="00DF5780"/>
    <w:rsid w:val="00E01B3B"/>
    <w:rsid w:val="00E52D02"/>
    <w:rsid w:val="00E804BD"/>
    <w:rsid w:val="00EA3DFD"/>
    <w:rsid w:val="00EE09F1"/>
    <w:rsid w:val="00EF3B65"/>
    <w:rsid w:val="00EF5CD7"/>
    <w:rsid w:val="00F16FC7"/>
    <w:rsid w:val="00F17D76"/>
    <w:rsid w:val="00F379D8"/>
    <w:rsid w:val="00F73859"/>
    <w:rsid w:val="00F75A79"/>
    <w:rsid w:val="00F835A9"/>
    <w:rsid w:val="00FB6EA2"/>
    <w:rsid w:val="00FC4BBC"/>
    <w:rsid w:val="00FD299E"/>
    <w:rsid w:val="00FD7D6B"/>
    <w:rsid w:val="00FF3A22"/>
    <w:rsid w:val="00FF3A63"/>
    <w:rsid w:val="03256194"/>
    <w:rsid w:val="03BE064D"/>
    <w:rsid w:val="060B06C8"/>
    <w:rsid w:val="07637A95"/>
    <w:rsid w:val="085F360E"/>
    <w:rsid w:val="0A261687"/>
    <w:rsid w:val="0CFB7FF5"/>
    <w:rsid w:val="0D565101"/>
    <w:rsid w:val="1180758A"/>
    <w:rsid w:val="11E03D81"/>
    <w:rsid w:val="16232A7C"/>
    <w:rsid w:val="17C45569"/>
    <w:rsid w:val="17EA27C8"/>
    <w:rsid w:val="17EB683C"/>
    <w:rsid w:val="195551F1"/>
    <w:rsid w:val="1BE27E07"/>
    <w:rsid w:val="1C387FA6"/>
    <w:rsid w:val="1F015BE8"/>
    <w:rsid w:val="1F1A142A"/>
    <w:rsid w:val="20763B1B"/>
    <w:rsid w:val="207D34A0"/>
    <w:rsid w:val="21260D15"/>
    <w:rsid w:val="21683854"/>
    <w:rsid w:val="2591208C"/>
    <w:rsid w:val="268B225A"/>
    <w:rsid w:val="277770BD"/>
    <w:rsid w:val="2A09516E"/>
    <w:rsid w:val="2A2D4276"/>
    <w:rsid w:val="2A5D254A"/>
    <w:rsid w:val="2BAE0B11"/>
    <w:rsid w:val="2C2F10D4"/>
    <w:rsid w:val="2D903E49"/>
    <w:rsid w:val="2DA37118"/>
    <w:rsid w:val="2DE62DEE"/>
    <w:rsid w:val="2E7A09DA"/>
    <w:rsid w:val="2F336C8F"/>
    <w:rsid w:val="30036006"/>
    <w:rsid w:val="31236A35"/>
    <w:rsid w:val="319770C5"/>
    <w:rsid w:val="31EE541F"/>
    <w:rsid w:val="327322EB"/>
    <w:rsid w:val="332B5EF8"/>
    <w:rsid w:val="34872BE8"/>
    <w:rsid w:val="36F037DC"/>
    <w:rsid w:val="37AE6F16"/>
    <w:rsid w:val="37E853C9"/>
    <w:rsid w:val="3AA36BD9"/>
    <w:rsid w:val="3BBB1019"/>
    <w:rsid w:val="3EEF5589"/>
    <w:rsid w:val="3F773442"/>
    <w:rsid w:val="40354106"/>
    <w:rsid w:val="40AD46EC"/>
    <w:rsid w:val="417C4E65"/>
    <w:rsid w:val="427D6A3C"/>
    <w:rsid w:val="436A63E7"/>
    <w:rsid w:val="43AB788F"/>
    <w:rsid w:val="452D1AFE"/>
    <w:rsid w:val="454876BC"/>
    <w:rsid w:val="467B5D8B"/>
    <w:rsid w:val="480F04A4"/>
    <w:rsid w:val="48450564"/>
    <w:rsid w:val="4949301D"/>
    <w:rsid w:val="4C3C2267"/>
    <w:rsid w:val="4D381304"/>
    <w:rsid w:val="4E3C654A"/>
    <w:rsid w:val="4F35029B"/>
    <w:rsid w:val="5159161C"/>
    <w:rsid w:val="51A11E63"/>
    <w:rsid w:val="51AC0513"/>
    <w:rsid w:val="522E0F28"/>
    <w:rsid w:val="5481758C"/>
    <w:rsid w:val="5954396A"/>
    <w:rsid w:val="5ABD553F"/>
    <w:rsid w:val="5BC14BBB"/>
    <w:rsid w:val="5BCB3EF3"/>
    <w:rsid w:val="5EAD7F1D"/>
    <w:rsid w:val="604F35A2"/>
    <w:rsid w:val="61542F6C"/>
    <w:rsid w:val="61FD73C5"/>
    <w:rsid w:val="63FF0976"/>
    <w:rsid w:val="65A23C3C"/>
    <w:rsid w:val="686D0B6F"/>
    <w:rsid w:val="6ADF0BB9"/>
    <w:rsid w:val="6CC166C4"/>
    <w:rsid w:val="6CC2799C"/>
    <w:rsid w:val="70716D41"/>
    <w:rsid w:val="70D22FFC"/>
    <w:rsid w:val="72D30C6F"/>
    <w:rsid w:val="73104EC3"/>
    <w:rsid w:val="7339262C"/>
    <w:rsid w:val="75036A50"/>
    <w:rsid w:val="752913AF"/>
    <w:rsid w:val="75871BA0"/>
    <w:rsid w:val="765F224D"/>
    <w:rsid w:val="77130569"/>
    <w:rsid w:val="775E1D8A"/>
    <w:rsid w:val="778571B0"/>
    <w:rsid w:val="77EF68E0"/>
    <w:rsid w:val="79E310B9"/>
    <w:rsid w:val="7A8A6D94"/>
    <w:rsid w:val="7A9121F1"/>
    <w:rsid w:val="7E2E3EDA"/>
    <w:rsid w:val="7E3E1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100" w:after="90" w:line="576" w:lineRule="auto"/>
      <w:outlineLvl w:val="0"/>
    </w:pPr>
    <w:rPr>
      <w:rFonts w:eastAsia="宋体"/>
      <w:b/>
      <w:kern w:val="44"/>
      <w:sz w:val="28"/>
    </w:rPr>
  </w:style>
  <w:style w:type="paragraph" w:styleId="3">
    <w:name w:val="heading 2"/>
    <w:basedOn w:val="1"/>
    <w:next w:val="1"/>
    <w:unhideWhenUsed/>
    <w:qFormat/>
    <w:uiPriority w:val="0"/>
    <w:pPr>
      <w:keepNext/>
      <w:keepLines/>
      <w:spacing w:before="100" w:after="90" w:line="456" w:lineRule="auto"/>
      <w:outlineLvl w:val="1"/>
    </w:pPr>
    <w:rPr>
      <w:rFonts w:ascii="Times New Roman" w:hAnsi="Times New Roman" w:eastAsia="宋体"/>
      <w:b/>
      <w:sz w:val="28"/>
    </w:rPr>
  </w:style>
  <w:style w:type="paragraph" w:styleId="4">
    <w:name w:val="heading 3"/>
    <w:basedOn w:val="1"/>
    <w:next w:val="1"/>
    <w:link w:val="33"/>
    <w:unhideWhenUsed/>
    <w:qFormat/>
    <w:uiPriority w:val="0"/>
    <w:pPr>
      <w:keepNext/>
      <w:keepLines/>
      <w:spacing w:before="260" w:after="260" w:line="413" w:lineRule="auto"/>
      <w:outlineLvl w:val="2"/>
    </w:pPr>
    <w:rPr>
      <w:rFonts w:ascii="Times New Roman" w:hAnsi="Times New Roman" w:eastAsia="黑体"/>
      <w:sz w:val="24"/>
    </w:rPr>
  </w:style>
  <w:style w:type="paragraph" w:styleId="5">
    <w:name w:val="heading 4"/>
    <w:basedOn w:val="1"/>
    <w:next w:val="1"/>
    <w:link w:val="32"/>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footer"/>
    <w:basedOn w:val="1"/>
    <w:link w:val="18"/>
    <w:qFormat/>
    <w:uiPriority w:val="0"/>
    <w:pPr>
      <w:tabs>
        <w:tab w:val="center" w:pos="4153"/>
        <w:tab w:val="right" w:pos="8306"/>
      </w:tabs>
      <w:snapToGrid w:val="0"/>
      <w:jc w:val="left"/>
    </w:pPr>
    <w:rPr>
      <w:sz w:val="18"/>
      <w:szCs w:val="18"/>
    </w:rPr>
  </w:style>
  <w:style w:type="paragraph" w:styleId="8">
    <w:name w:val="header"/>
    <w:basedOn w:val="1"/>
    <w:link w:val="17"/>
    <w:qFormat/>
    <w:uiPriority w:val="0"/>
    <w:pP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rPr>
  </w:style>
  <w:style w:type="character" w:styleId="14">
    <w:name w:val="Emphasis"/>
    <w:basedOn w:val="12"/>
    <w:qFormat/>
    <w:uiPriority w:val="0"/>
    <w:rPr>
      <w:i/>
    </w:rPr>
  </w:style>
  <w:style w:type="character" w:styleId="15">
    <w:name w:val="annotation reference"/>
    <w:basedOn w:val="12"/>
    <w:qFormat/>
    <w:uiPriority w:val="0"/>
    <w:rPr>
      <w:sz w:val="21"/>
      <w:szCs w:val="21"/>
    </w:rPr>
  </w:style>
  <w:style w:type="paragraph" w:customStyle="1" w:styleId="16">
    <w:name w:val="内容"/>
    <w:basedOn w:val="1"/>
    <w:qFormat/>
    <w:uiPriority w:val="0"/>
    <w:pPr>
      <w:spacing w:line="360" w:lineRule="auto"/>
    </w:pPr>
  </w:style>
  <w:style w:type="character" w:customStyle="1" w:styleId="17">
    <w:name w:val="页眉 字符"/>
    <w:basedOn w:val="12"/>
    <w:link w:val="8"/>
    <w:qFormat/>
    <w:uiPriority w:val="0"/>
    <w:rPr>
      <w:rFonts w:asciiTheme="minorHAnsi" w:hAnsiTheme="minorHAnsi" w:eastAsiaTheme="minorEastAsia" w:cstheme="minorBidi"/>
      <w:kern w:val="2"/>
      <w:sz w:val="18"/>
      <w:szCs w:val="18"/>
    </w:rPr>
  </w:style>
  <w:style w:type="character" w:customStyle="1" w:styleId="18">
    <w:name w:val="页脚 字符"/>
    <w:basedOn w:val="12"/>
    <w:link w:val="7"/>
    <w:qFormat/>
    <w:uiPriority w:val="0"/>
    <w:rPr>
      <w:rFonts w:asciiTheme="minorHAnsi" w:hAnsiTheme="minorHAnsi" w:eastAsiaTheme="minorEastAsia" w:cstheme="minorBidi"/>
      <w:kern w:val="2"/>
      <w:sz w:val="18"/>
      <w:szCs w:val="18"/>
    </w:rPr>
  </w:style>
  <w:style w:type="paragraph" w:customStyle="1" w:styleId="19">
    <w:name w:val="标准文件_段"/>
    <w:link w:val="27"/>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
    <w:name w:val="标准文件_二级条标题"/>
    <w:next w:val="19"/>
    <w:qFormat/>
    <w:uiPriority w:val="0"/>
    <w:pPr>
      <w:widowControl w:val="0"/>
      <w:numPr>
        <w:ilvl w:val="3"/>
        <w:numId w:val="1"/>
      </w:numPr>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21">
    <w:name w:val="标准文件_三级条标题"/>
    <w:basedOn w:val="20"/>
    <w:next w:val="19"/>
    <w:qFormat/>
    <w:uiPriority w:val="0"/>
    <w:pPr>
      <w:widowControl/>
      <w:numPr>
        <w:ilvl w:val="4"/>
      </w:numPr>
      <w:outlineLvl w:val="3"/>
    </w:pPr>
  </w:style>
  <w:style w:type="paragraph" w:customStyle="1" w:styleId="22">
    <w:name w:val="标准文件_四级条标题"/>
    <w:next w:val="19"/>
    <w:qFormat/>
    <w:uiPriority w:val="0"/>
    <w:pPr>
      <w:widowControl w:val="0"/>
      <w:numPr>
        <w:ilvl w:val="5"/>
        <w:numId w:val="1"/>
      </w:numPr>
      <w:spacing w:before="50" w:beforeLines="50" w:after="50" w:afterLines="50"/>
      <w:jc w:val="both"/>
      <w:outlineLvl w:val="4"/>
    </w:pPr>
    <w:rPr>
      <w:rFonts w:ascii="黑体" w:hAnsi="Times New Roman" w:eastAsia="黑体" w:cs="Times New Roman"/>
      <w:sz w:val="21"/>
      <w:lang w:val="en-US" w:eastAsia="zh-CN" w:bidi="ar-SA"/>
    </w:rPr>
  </w:style>
  <w:style w:type="paragraph" w:customStyle="1" w:styleId="23">
    <w:name w:val="标准文件_五级条标题"/>
    <w:next w:val="19"/>
    <w:qFormat/>
    <w:uiPriority w:val="0"/>
    <w:pPr>
      <w:widowControl w:val="0"/>
      <w:numPr>
        <w:ilvl w:val="6"/>
        <w:numId w:val="1"/>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24">
    <w:name w:val="标准文件_章标题"/>
    <w:next w:val="19"/>
    <w:qFormat/>
    <w:uiPriority w:val="0"/>
    <w:pPr>
      <w:numPr>
        <w:ilvl w:val="1"/>
        <w:numId w:val="1"/>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25">
    <w:name w:val="标准文件_一级条标题"/>
    <w:basedOn w:val="24"/>
    <w:next w:val="19"/>
    <w:qFormat/>
    <w:uiPriority w:val="0"/>
    <w:pPr>
      <w:numPr>
        <w:ilvl w:val="2"/>
      </w:numPr>
      <w:spacing w:before="50" w:beforeLines="50" w:after="50" w:afterLines="50"/>
      <w:outlineLvl w:val="1"/>
    </w:pPr>
  </w:style>
  <w:style w:type="paragraph" w:customStyle="1" w:styleId="26">
    <w:name w:val="前言标题"/>
    <w:next w:val="1"/>
    <w:qFormat/>
    <w:uiPriority w:val="0"/>
    <w:pPr>
      <w:numPr>
        <w:ilvl w:val="0"/>
        <w:numId w:val="1"/>
      </w:numPr>
      <w:shd w:val="clear" w:color="FFFFFF" w:fill="FFFFFF"/>
      <w:spacing w:before="540" w:after="600"/>
      <w:jc w:val="center"/>
      <w:outlineLvl w:val="0"/>
    </w:pPr>
    <w:rPr>
      <w:rFonts w:ascii="黑体" w:hAnsi="Times New Roman" w:eastAsia="黑体" w:cs="Times New Roman"/>
      <w:sz w:val="32"/>
      <w:lang w:val="en-US" w:eastAsia="zh-CN" w:bidi="ar-SA"/>
    </w:rPr>
  </w:style>
  <w:style w:type="character" w:customStyle="1" w:styleId="27">
    <w:name w:val="标准文件_段 Char"/>
    <w:link w:val="19"/>
    <w:qFormat/>
    <w:uiPriority w:val="0"/>
    <w:rPr>
      <w:rFonts w:ascii="宋体"/>
      <w:sz w:val="21"/>
    </w:rPr>
  </w:style>
  <w:style w:type="paragraph" w:customStyle="1" w:styleId="28">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29">
    <w:name w:val="修订2"/>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0">
    <w:name w:val="修订3"/>
    <w:hidden/>
    <w:unhideWhenUsed/>
    <w:qFormat/>
    <w:uiPriority w:val="99"/>
    <w:rPr>
      <w:rFonts w:asciiTheme="minorHAnsi" w:hAnsiTheme="minorHAnsi" w:eastAsiaTheme="minorEastAsia" w:cstheme="minorBidi"/>
      <w:kern w:val="2"/>
      <w:sz w:val="21"/>
      <w:szCs w:val="24"/>
      <w:lang w:val="en-US" w:eastAsia="zh-CN" w:bidi="ar-SA"/>
    </w:rPr>
  </w:style>
  <w:style w:type="paragraph" w:styleId="31">
    <w:name w:val="List Paragraph"/>
    <w:basedOn w:val="1"/>
    <w:unhideWhenUsed/>
    <w:qFormat/>
    <w:uiPriority w:val="99"/>
    <w:pPr>
      <w:ind w:firstLine="420" w:firstLineChars="200"/>
    </w:pPr>
  </w:style>
  <w:style w:type="character" w:customStyle="1" w:styleId="32">
    <w:name w:val="标题 4 字符"/>
    <w:basedOn w:val="12"/>
    <w:link w:val="5"/>
    <w:semiHidden/>
    <w:qFormat/>
    <w:uiPriority w:val="0"/>
    <w:rPr>
      <w:rFonts w:asciiTheme="majorHAnsi" w:hAnsiTheme="majorHAnsi" w:eastAsiaTheme="majorEastAsia" w:cstheme="majorBidi"/>
      <w:b/>
      <w:bCs/>
      <w:kern w:val="2"/>
      <w:sz w:val="28"/>
      <w:szCs w:val="28"/>
    </w:rPr>
  </w:style>
  <w:style w:type="character" w:customStyle="1" w:styleId="33">
    <w:name w:val="标题 3 字符"/>
    <w:link w:val="4"/>
    <w:qFormat/>
    <w:uiPriority w:val="0"/>
    <w:rPr>
      <w:rFonts w:ascii="Times New Roman" w:hAnsi="Times New Roman" w:eastAsia="黑体"/>
      <w:sz w:val="24"/>
    </w:rPr>
  </w:style>
  <w:style w:type="paragraph" w:customStyle="1" w:styleId="34">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35">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36">
    <w:name w:val="修订4"/>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7">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5951</Words>
  <Characters>6779</Characters>
  <Lines>52</Lines>
  <Paragraphs>14</Paragraphs>
  <TotalTime>923</TotalTime>
  <ScaleCrop>false</ScaleCrop>
  <LinksUpToDate>false</LinksUpToDate>
  <CharactersWithSpaces>6854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2022-06-30T09:26:00Z</dcterms:created>
  <dc:creator>Administrator</dc:creator>
  <cp:lastModifiedBy>Pluto</cp:lastModifiedBy>
  <dcterms:modified xsi:type="dcterms:W3CDTF">2025-02-06T01:53:28Z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E49E4DB5BC484A168F7BB4F16BEEDF9B_13</vt:lpwstr>
  </property>
  <property fmtid="{D5CDD505-2E9C-101B-9397-08002B2CF9AE}" pid="4" name="KSOTemplateDocerSaveRecord">
    <vt:lpwstr>eyJoZGlkIjoiZjA2ZTg3M2E0NjA0NTc4MGI1ZTAwOWM4ODUxY2UzOGYiLCJ1c2VySWQiOiI2MDM0NzI1NzQifQ==</vt:lpwstr>
  </property>
</Properties>
</file>