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0FD80">
      <w:pPr>
        <w:pStyle w:val="152"/>
        <w:framePr w:wrap="around"/>
        <w:rPr>
          <w:rFonts w:hint="eastAsia"/>
        </w:rPr>
      </w:pPr>
      <w:bookmarkStart w:id="0" w:name="_Hlk173423195"/>
      <w:r>
        <w:t>团体标准</w:t>
      </w:r>
    </w:p>
    <w:bookmarkEnd w:id="0"/>
    <w:p w14:paraId="540E6831">
      <w:pPr>
        <w:pStyle w:val="128"/>
        <w:framePr w:wrap="around"/>
        <w:spacing w:before="117" w:after="40"/>
        <w:rPr>
          <w:rFonts w:hint="eastAsia" w:hAnsi="黑体"/>
        </w:rPr>
      </w:pPr>
    </w:p>
    <w:tbl>
      <w:tblPr>
        <w:tblStyle w:val="4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86E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BEA217E">
            <w:pPr>
              <w:pStyle w:val="156"/>
              <w:framePr w:wrap="around"/>
              <w:rPr>
                <w:rFonts w:ascii="Times New Roman" w:hAnsi="Times New Roman"/>
              </w:rPr>
            </w:pPr>
          </w:p>
        </w:tc>
      </w:tr>
    </w:tbl>
    <w:p w14:paraId="0989C187">
      <w:pPr>
        <w:pStyle w:val="128"/>
        <w:framePr w:wrap="around"/>
        <w:rPr>
          <w:rFonts w:ascii="Times New Roman" w:hAnsi="Times New Roman"/>
        </w:rPr>
      </w:pPr>
    </w:p>
    <w:p w14:paraId="025CB5BA">
      <w:pPr>
        <w:pStyle w:val="128"/>
        <w:framePr w:wrap="around"/>
        <w:rPr>
          <w:rFonts w:ascii="Times New Roman" w:hAnsi="Times New Roman"/>
        </w:rPr>
      </w:pPr>
    </w:p>
    <w:p w14:paraId="70AF52BE">
      <w:pPr>
        <w:framePr w:w="9639" w:h="6917" w:hRule="exact" w:wrap="around" w:vAnchor="page" w:hAnchor="page" w:x="1373" w:y="5605" w:anchorLock="1"/>
        <w:ind w:firstLine="2080" w:firstLineChars="400"/>
        <w:rPr>
          <w:rFonts w:hint="eastAsia" w:ascii="黑体" w:hAnsi="黑体" w:eastAsia="黑体"/>
          <w:kern w:val="0"/>
          <w:sz w:val="52"/>
          <w:szCs w:val="20"/>
        </w:rPr>
      </w:pPr>
      <w:bookmarkStart w:id="1" w:name="YZBS"/>
      <w:r>
        <w:rPr>
          <w:rFonts w:hint="eastAsia" w:ascii="黑体" w:hAnsi="黑体" w:eastAsia="黑体"/>
          <w:kern w:val="0"/>
          <w:sz w:val="52"/>
          <w:szCs w:val="20"/>
        </w:rPr>
        <w:t>化妆品中总汞含量的测定</w:t>
      </w:r>
    </w:p>
    <w:p w14:paraId="48FFF711">
      <w:pPr>
        <w:framePr w:w="9639" w:h="6917" w:hRule="exact" w:wrap="around" w:vAnchor="page" w:hAnchor="page" w:x="1373" w:y="5605" w:anchorLock="1"/>
        <w:ind w:firstLine="1560" w:firstLineChars="300"/>
        <w:rPr>
          <w:rFonts w:hint="eastAsia" w:ascii="黑体" w:hAnsi="黑体" w:eastAsia="黑体"/>
          <w:kern w:val="0"/>
          <w:sz w:val="52"/>
          <w:szCs w:val="20"/>
        </w:rPr>
      </w:pPr>
      <w:bookmarkStart w:id="2" w:name="_Hlk173423151"/>
      <w:r>
        <w:rPr>
          <w:rFonts w:hint="eastAsia" w:ascii="黑体" w:hAnsi="黑体" w:eastAsia="黑体"/>
          <w:kern w:val="0"/>
          <w:sz w:val="52"/>
          <w:szCs w:val="20"/>
        </w:rPr>
        <w:t>电热-塞曼效应原子吸收光谱法</w:t>
      </w:r>
    </w:p>
    <w:bookmarkEnd w:id="1"/>
    <w:bookmarkEnd w:id="2"/>
    <w:p w14:paraId="2A5538EB">
      <w:pPr>
        <w:pStyle w:val="87"/>
        <w:framePr w:wrap="around" w:x="1373" w:y="5605"/>
        <w:rPr>
          <w:rFonts w:hint="eastAsia" w:ascii="黑体" w:hAnsi="黑体"/>
        </w:rPr>
      </w:pPr>
      <w:r>
        <w:rPr>
          <w:rFonts w:hint="eastAsia" w:ascii="黑体" w:hAnsi="黑体"/>
        </w:rPr>
        <w:t>Determination of Total Mercury in Cosmetics</w:t>
      </w:r>
    </w:p>
    <w:p w14:paraId="575B966C">
      <w:pPr>
        <w:pStyle w:val="87"/>
        <w:framePr w:wrap="around" w:x="1373" w:y="5605"/>
        <w:rPr>
          <w:rFonts w:hint="eastAsia" w:ascii="黑体" w:hAnsi="黑体"/>
        </w:rPr>
      </w:pPr>
      <w:r>
        <w:rPr>
          <w:rFonts w:hint="eastAsia" w:ascii="黑体" w:hAnsi="黑体"/>
        </w:rPr>
        <w:t>By Electrothermal-Zeeman Effect Atomic Absorption Spectrometry</w:t>
      </w:r>
    </w:p>
    <w:p w14:paraId="2419ADAC">
      <w:pPr>
        <w:pStyle w:val="87"/>
        <w:framePr w:wrap="around" w:x="1373" w:y="5605"/>
        <w:rPr>
          <w:rFonts w:hint="eastAsia" w:ascii="黑体" w:hAnsi="黑体"/>
        </w:rPr>
      </w:pPr>
      <w:r>
        <w:rPr>
          <w:rFonts w:hint="eastAsia" w:ascii="黑体" w:hAnsi="黑体"/>
        </w:rPr>
        <w:t>（征求意见稿）</w:t>
      </w:r>
    </w:p>
    <w:tbl>
      <w:tblPr>
        <w:tblStyle w:val="42"/>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561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6E2D3511">
            <w:pPr>
              <w:pStyle w:val="100"/>
              <w:framePr w:wrap="around" w:x="1373" w:y="5605"/>
              <w:rPr>
                <w:rFonts w:ascii="Times New Roman" w:hAnsi="Times New Roman"/>
              </w:rPr>
            </w:pPr>
          </w:p>
        </w:tc>
      </w:tr>
      <w:tr w14:paraId="0B61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9F96862">
            <w:pPr>
              <w:pStyle w:val="100"/>
              <w:framePr w:wrap="around" w:x="1373" w:y="5605"/>
              <w:rPr>
                <w:sz w:val="24"/>
                <w:szCs w:val="24"/>
              </w:rPr>
            </w:pPr>
            <w:r>
              <w:rPr>
                <w:rFonts w:hint="eastAsia"/>
                <w:sz w:val="24"/>
                <w:szCs w:val="24"/>
              </w:rPr>
              <w:t>在提交反馈意见时，请将您知道的相关专利连同支持性文件一并附上。</w:t>
            </w:r>
          </w:p>
          <w:p w14:paraId="0872EE78">
            <w:pPr>
              <w:pStyle w:val="100"/>
              <w:framePr w:wrap="around" w:x="1373" w:y="5605"/>
              <w:rPr>
                <w:rFonts w:ascii="Times New Roman" w:hAnsi="Times New Roman"/>
              </w:rPr>
            </w:pPr>
          </w:p>
        </w:tc>
      </w:tr>
    </w:tbl>
    <w:p w14:paraId="630C7DEC">
      <w:pPr>
        <w:pStyle w:val="147"/>
        <w:framePr w:wrap="around" w:vAnchor="text" w:hAnchor="page" w:x="1431" w:y="13497"/>
        <w:rPr>
          <w:rFonts w:hint="eastAsia" w:ascii="黑体" w:hAnsi="黑体"/>
        </w:rPr>
      </w:pPr>
      <w:r>
        <w:rPr>
          <w:rFonts w:ascii="黑体" w:hAnsi="黑体"/>
        </w:rPr>
        <w:t>XXXX-XX-XX发布</w:t>
      </w:r>
      <w:r>
        <w:rPr>
          <w:rFonts w:ascii="黑体" w:hAnsi="黑体"/>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IHhyeHwAQAA5gMAAA4AAABkcnMvZTJvRG9jLnhtbK1TzW4T&#10;MRC+I/EOlu9kk6BWsMqmh4ZyQRAJeICJ7c1a8p88bjZ5CV4AiRucOHLnbWgfg7F3G0p7yaF78M7Y&#10;M9/M93m8uNhbw3Yqovau4bPJlDPlhJfabRv++dPVi1ecYQInwXinGn5QyC+Wz58t+lCrue+8kSoy&#10;AnFY96HhXUqhrioUnbKAEx+Uo8PWRwuJ3LitZISe0K2p5tPpedX7KEP0QiHS7mo45CNiPAXQt60W&#10;auXFtVUuDahRGUhECTsdkC9Lt22rRPrQtqgSMw0npqmsVITsTV6r5QLqbYTQaTG2AKe08ICTBe2o&#10;6BFqBQnYddSPoKwW0aNv00R4Ww1EiiLEYjZ9oM3HDoIqXEhqDEfR8elgxfvdOjItGz7nzIGlC7/5&#10;+uvPl++3v7/RevPzB5tnkfqANcVeunUcPQzrmBnv22jzn7iwfRH2cBRW7RMTtHk+I3YvSXNxd1b9&#10;SwwR01vlLctGw412mTPUsHuHiYpR6F1I3jaO9Q1/fTY/IzigAWzp4sm0gUig25Zc9EbLK21MzsC4&#10;3VyayHaQh6B8mRLh/heWi6wAuyGuHA3j0SmQb5xk6RBIHkevgucWrJKcGUWPKFsECHUCbU6JpNLG&#10;5QRVRnTkmTUeVM3WxstDEbvKHl1/6Xgc1Txf932y7z/P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h2s81gAAAAsBAAAPAAAAAAAAAAEAIAAAACIAAABkcnMvZG93bnJldi54bWxQSwECFAAUAAAA&#10;CACHTuJAgeHJ4fABAADmAwAADgAAAAAAAAABACAAAAAlAQAAZHJzL2Uyb0RvYy54bWxQSwUGAAAA&#10;AAYABgBZAQAAhwUAAAAA&#10;">
                <v:fill on="f" focussize="0,0"/>
                <v:stroke color="#000000" joinstyle="round"/>
                <v:imagedata o:title=""/>
                <o:lock v:ext="edit" aspectratio="f"/>
                <w10:anchorlock/>
              </v:line>
            </w:pict>
          </mc:Fallback>
        </mc:AlternateContent>
      </w:r>
    </w:p>
    <w:p w14:paraId="56842791">
      <w:pPr>
        <w:pStyle w:val="155"/>
        <w:framePr w:wrap="around" w:vAnchor="text" w:hAnchor="page" w:x="7066" w:y="13497"/>
        <w:rPr>
          <w:rFonts w:hint="eastAsia" w:ascii="黑体" w:hAnsi="黑体"/>
        </w:rPr>
      </w:pPr>
      <w:r>
        <w:rPr>
          <w:rFonts w:ascii="黑体" w:hAnsi="黑体"/>
        </w:rPr>
        <w:t>XXXX-XX-XX实施</w:t>
      </w:r>
    </w:p>
    <w:p w14:paraId="4FB5B606">
      <w:pPr>
        <w:pStyle w:val="148"/>
        <w:framePr w:wrap="around"/>
        <w:rPr>
          <w:rFonts w:ascii="Times New Roman" w:hAnsi="Times New Roman"/>
        </w:rPr>
      </w:pPr>
      <w:r>
        <w:rPr>
          <w:rFonts w:ascii="Times New Roman" w:hAnsi="Times New Roman"/>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3810" b="8255"/>
                <wp:wrapNone/>
                <wp:docPr id="3" name="矩形 3"/>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a:effectLst/>
                      </wps:spPr>
                      <wps:txbx>
                        <w:txbxContent>
                          <w:p w14:paraId="2846E609"/>
                        </w:txbxContent>
                      </wps:txbx>
                      <wps:bodyPr wrap="square" upright="1"/>
                    </wps:wsp>
                  </a:graphicData>
                </a:graphic>
              </wp:anchor>
            </w:drawing>
          </mc:Choice>
          <mc:Fallback>
            <w:pict>
              <v:rect id="_x0000_s1026"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AePTD3KAQAAjwMAAA4AAABkcnMvZTJvRG9jLnhtbK1T&#10;zY7TMBC+I/EOlu80acvCEjXdA1W5IFhplwdwHSex5D9m3CZ9GiRuPASPg3gNxk4oy3LZAz44M/b4&#10;m/m+mWxuRmvYSQFq72q+XJScKSd9o11X80/3+xfXnGEUrhHGO1Xzs0J+s33+bDOESq18702jgBGI&#10;w2oINe9jDFVRoOyVFbjwQTm6bD1YEcmFrmhADIRuTbEqy1fF4KEJ4KVCpNPddMlnRHgKoG9bLdXO&#10;y6NVLk6ooIyIRAl7HZBvc7Vtq2T82LaoIjM1J6Yx75SE7EPai+1GVB2I0Gs5lyCeUsIjTlZoR0kv&#10;UDsRBTuC/gfKagkefRsX0ttiIpIVIRbL8pE2d70IKnMhqTFcRMf/Bys/nG6B6abma86csNTwn1++&#10;/fj+la2TNkPAikLuwi3MHpKZiI4t2PQlCmzMep4veqoxMkmHy9XrkhZnku7W5ctrsgmm+PM6AMZ3&#10;yluWjJoD9SvLKE7vMU6hv0NSMvRGN3ttTHagO7w1wE6CervPa0b/K8w4NtT8zdXqKiM7n95P0MYl&#10;HJXHZM6XCE8UkxXHwzjzPvjmTEoNNCo1x89HAYqzYwDd9VT4MmdOT6hPmeE8U2kQHvpkP/yPt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Xu1tkAAAANAQAADwAAAAAAAAABACAAAAAiAAAAZHJz&#10;L2Rvd25yZXYueG1sUEsBAhQAFAAAAAgAh07iQAePTD3KAQAAjwMAAA4AAAAAAAAAAQAgAAAAKAEA&#10;AGRycy9lMm9Eb2MueG1sUEsFBgAAAAAGAAYAWQEAAGQFAAAAAA==&#10;">
                <v:fill on="t" focussize="0,0"/>
                <v:stroke on="f"/>
                <v:imagedata o:title=""/>
                <o:lock v:ext="edit" aspectratio="f"/>
                <v:textbox>
                  <w:txbxContent>
                    <w:p w14:paraId="2846E609"/>
                  </w:txbxContent>
                </v:textbox>
              </v:rect>
            </w:pict>
          </mc:Fallback>
        </mc:AlternateContent>
      </w:r>
      <w:r>
        <w:rPr>
          <w:rFonts w:ascii="Times New Roman" w:hAnsi="Times New Roman"/>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1270" b="8890"/>
                <wp:wrapNone/>
                <wp:docPr id="4" name="矩形 4"/>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a:effectLst/>
                      </wps:spPr>
                      <wps:txbx>
                        <w:txbxContent>
                          <w:p w14:paraId="08F95A53"/>
                        </w:txbxContent>
                      </wps:txbx>
                      <wps:bodyPr wrap="square" upright="1"/>
                    </wps:wsp>
                  </a:graphicData>
                </a:graphic>
              </wp:anchor>
            </w:drawing>
          </mc:Choice>
          <mc:Fallback>
            <w:pict>
              <v:rect id="_x0000_s1026"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ESctywEAAI8DAAAOAAAAZHJzL2Uyb0RvYy54bWyt&#10;U82O0zAQviPxDpbvNGnorpao6R6oygXBSss+gOs4jSX/MeM26dMgceMheBzEazB2QlmWyx7IwZmx&#10;x9/M9814fTtaw04KUHvX8OWi5Ew56VvtDg1/+LR7dcMZRuFaYbxTDT8r5Lebly/WQ6hV5XtvWgWM&#10;QBzWQ2h4H2OoiwJlr6zAhQ/K0WHnwYpILhyKFsRA6NYUVVleF4OHNoCXCpF2t9MhnxHhOYC+67RU&#10;Wy+PVrk4oYIyIhIl7HVAvsnVdp2S8WPXoYrMNJyYxrxSErL3aS02a1EfQIRey7kE8ZwSnnCyQjtK&#10;eoHaiijYEfQ/UFZL8Oi7uJDeFhORrAixWJZPtLnvRVCZC0mN4SI6/j9Y+eF0B0y3DV9x5oSlhv/8&#10;8u3H969slbQZAtYUch/uYPaQzER07MCmP1FgY9bzfNFTjZFJ2lwuV6/LkqSWdFZVN9dkE0zx53YA&#10;jO+UtywZDQfqV5ZRnN5jnEJ/h6Rk6I1ud9qY7MBh/9YAOwnq7S5/M/pfYcaxoeFvrqqrjOx8uj9B&#10;G5dwVB6TOV8iPFFMVhz348x779szKTXQqDQcPx8FKM6OAfShp8KXOXO6Qn3KDOeZSoPw2Cf78Tva&#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yYoR2gAAAA8BAAAPAAAAAAAAAAEAIAAAACIAAABk&#10;cnMvZG93bnJldi54bWxQSwECFAAUAAAACACHTuJA/hEnLcsBAACPAwAADgAAAAAAAAABACAAAAAp&#10;AQAAZHJzL2Uyb0RvYy54bWxQSwUGAAAAAAYABgBZAQAAZgUAAAAA&#10;">
                <v:fill on="t" focussize="0,0"/>
                <v:stroke on="f"/>
                <v:imagedata o:title=""/>
                <o:lock v:ext="edit" aspectratio="f"/>
                <v:textbox>
                  <w:txbxContent>
                    <w:p w14:paraId="08F95A53"/>
                  </w:txbxContent>
                </v:textbox>
              </v:rect>
            </w:pict>
          </mc:Fallback>
        </mc:AlternateContent>
      </w:r>
      <w:r>
        <w:rPr>
          <w:rFonts w:ascii="Times New Roman" w:hAnsi="Times New Roman"/>
          <w:w w:val="100"/>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6pt;margin-top:-552.85pt;height:0pt;width:481.9pt;z-index:251662336;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fywG6/ABAADmAwAADgAAAGRycy9lMm9Eb2MueG1srVO9&#10;jhMxEO6ReAfLPdkkKCdYZXPFhaNBEAl4gIntzVrynzy+bPISvAASHVSU9LwNd4/B2LsXjqNJwRbe&#10;GXvmm/k+j5eXB2vYXkXU3jV8NplyppzwUrtdwz9+uH72gjNM4CQY71TDjwr55erpk2UfajX3nTdS&#10;RUYgDus+NLxLKdRVhaJTFnDig3J02PpoIZEbd5WM0BO6NdV8Or2oeh9liF4oRNpdD4d8RIznAPq2&#10;1UKtvbixyqUBNSoDiShhpwPyVem2bZVI79oWVWKm4cQ0lZWKkL3Na7VaQr2LEDotxhbgnBYecbKg&#10;HRU9Qa0hAbuJ+h8oq0X06Ns0Ed5WA5GiCLGYTR9p876DoAoXkhrDSXT8f7Di7X4TmZYNX3DmwNKF&#10;337+8evT17ufX2i9/f6NLbJIfcCaYq/cJo4ehk3MjA9ttPlPXNihCHs8CasOiQnavJgRu+ekubg/&#10;q/4khojptfKWZaPhRrvMGWrYv8FExSj0PiRvG8f6hr9czKlhATSALV08mTYQCXS7koveaHmtjckZ&#10;GHfbKxPZHvIQlC9TIty/wnKRNWA3xJWjYTw6BfKVkywdA8nj6FXw3IJVkjOj6BFliwChTqDNOZFU&#10;2ricoMqIjjyzxoOq2dp6eSxiV9mj6y8dj6Oa5+uhT/bD5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slkaDYAAAADwEAAA8AAAAAAAAAAQAgAAAAIgAAAGRycy9kb3ducmV2LnhtbFBLAQIUABQA&#10;AAAIAIdO4kB/LAbr8AEAAOYDAAAOAAAAAAAAAAEAIAAAACcBAABkcnMvZTJvRG9jLnhtbFBLBQYA&#10;AAAABgAGAFkBAACJBQAAAAA=&#10;">
                <v:fill on="f" focussize="0,0"/>
                <v:stroke color="#000000" joinstyle="round"/>
                <v:imagedata o:title=""/>
                <o:lock v:ext="edit" aspectratio="f"/>
              </v:line>
            </w:pict>
          </mc:Fallback>
        </mc:AlternateContent>
      </w:r>
      <w:r>
        <w:rPr>
          <w:rFonts w:ascii="Times New Roman" w:hAnsi="Times New Roman"/>
          <w:szCs w:val="28"/>
        </w:rPr>
        <w:t>中国香料香精化妆品工业协会</w:t>
      </w:r>
      <w:r>
        <w:rPr>
          <w:rFonts w:ascii="Times New Roman" w:hAnsi="Times New Roman"/>
        </w:rPr>
        <w:t>   </w:t>
      </w:r>
      <w:r>
        <w:rPr>
          <w:rStyle w:val="68"/>
          <w:rFonts w:ascii="Times New Roman" w:hAnsi="Times New Roman"/>
        </w:rPr>
        <w:t>发布</w:t>
      </w:r>
    </w:p>
    <w:p w14:paraId="3819050F">
      <w:pPr>
        <w:pStyle w:val="32"/>
        <w:rPr>
          <w:rFonts w:ascii="Times New Roman" w:hAnsi="Times New Roman"/>
        </w:rPr>
        <w:sectPr>
          <w:headerReference r:id="rId7" w:type="first"/>
          <w:headerReference r:id="rId5" w:type="default"/>
          <w:footerReference r:id="rId8" w:type="default"/>
          <w:headerReference r:id="rId6" w:type="even"/>
          <w:pgSz w:w="11906" w:h="16838"/>
          <w:pgMar w:top="567" w:right="850" w:bottom="1134" w:left="1418" w:header="0" w:footer="0" w:gutter="0"/>
          <w:pgNumType w:start="1"/>
          <w:cols w:space="720" w:num="1"/>
          <w:titlePg/>
          <w:docGrid w:type="lines" w:linePitch="312" w:charSpace="0"/>
        </w:sectPr>
      </w:pPr>
      <w:r>
        <mc:AlternateContent>
          <mc:Choice Requires="wps">
            <w:drawing>
              <wp:anchor distT="0" distB="0" distL="114300" distR="114300" simplePos="0" relativeHeight="251669504" behindDoc="0" locked="1" layoutInCell="0" allowOverlap="1">
                <wp:simplePos x="0" y="0"/>
                <wp:positionH relativeFrom="margin">
                  <wp:posOffset>231775</wp:posOffset>
                </wp:positionH>
                <wp:positionV relativeFrom="margin">
                  <wp:posOffset>1663065</wp:posOffset>
                </wp:positionV>
                <wp:extent cx="5802630" cy="577850"/>
                <wp:effectExtent l="0" t="0" r="1270" b="6350"/>
                <wp:wrapNone/>
                <wp:docPr id="1" name="fmFrame3"/>
                <wp:cNvGraphicFramePr/>
                <a:graphic xmlns:a="http://schemas.openxmlformats.org/drawingml/2006/main">
                  <a:graphicData uri="http://schemas.microsoft.com/office/word/2010/wordprocessingShape">
                    <wps:wsp>
                      <wps:cNvSpPr txBox="1"/>
                      <wps:spPr>
                        <a:xfrm>
                          <a:off x="0" y="0"/>
                          <a:ext cx="5802630" cy="577850"/>
                        </a:xfrm>
                        <a:prstGeom prst="rect">
                          <a:avLst/>
                        </a:prstGeom>
                        <a:solidFill>
                          <a:srgbClr val="FFFFFF"/>
                        </a:solidFill>
                        <a:ln>
                          <a:noFill/>
                        </a:ln>
                      </wps:spPr>
                      <wps:txbx>
                        <w:txbxContent>
                          <w:p w14:paraId="01F39F86">
                            <w:pPr>
                              <w:pStyle w:val="157"/>
                              <w:rPr>
                                <w:rFonts w:ascii="黑体" w:hAnsi="黑体" w:eastAsia="黑体" w:cs="黑体"/>
                              </w:rPr>
                            </w:pPr>
                            <w:r>
                              <w:rPr>
                                <w:rFonts w:hint="eastAsia" w:ascii="黑体" w:hAnsi="黑体" w:eastAsia="黑体" w:cs="黑体"/>
                              </w:rPr>
                              <w:t>T/CAFFCI  XXXX—202X</w:t>
                            </w:r>
                          </w:p>
                          <w:p w14:paraId="35CB712A">
                            <w:pPr>
                              <w:pStyle w:val="157"/>
                              <w:rPr>
                                <w:rFonts w:ascii="黑体" w:eastAsia="黑体"/>
                                <w:b/>
                              </w:rPr>
                            </w:pPr>
                          </w:p>
                        </w:txbxContent>
                      </wps:txbx>
                      <wps:bodyPr wrap="square" lIns="0" tIns="0" rIns="0" bIns="0" upright="1"/>
                    </wps:wsp>
                  </a:graphicData>
                </a:graphic>
              </wp:anchor>
            </w:drawing>
          </mc:Choice>
          <mc:Fallback>
            <w:pict>
              <v:shape id="fmFrame3" o:spid="_x0000_s1026" o:spt="202" type="#_x0000_t202" style="position:absolute;left:0pt;margin-left:18.25pt;margin-top:130.95pt;height:45.5pt;width:456.9pt;mso-position-horizontal-relative:margin;mso-position-vertical-relative:margin;z-index:251669504;mso-width-relative:page;mso-height-relative:page;" fillcolor="#FFFFFF" filled="t" stroked="f" coordsize="21600,21600" o:allowincell="f" o:gfxdata="UEsDBAoAAAAAAIdO4kAAAAAAAAAAAAAAAAAEAAAAZHJzL1BLAwQUAAAACACHTuJAQlLLb9kAAAAK&#10;AQAADwAAAGRycy9kb3ducmV2LnhtbE2PwU7DMBBE70j8g7VIXBC1kyoRSeNUooUbHFqqnt14m0TE&#10;68h2mvbvMSc4ruZp5m21vpqBXdD53pKEZCGAITVW99RKOHy9P78A80GRVoMllHBDD+v6/q5SpbYz&#10;7fCyDy2LJeRLJaELYSw5902HRvmFHZFidrbOqBBP13Lt1BzLzcBTIXJuVE9xoVMjbjpsvveTkZBv&#10;3TTvaPO0Pbx9qM+xTY+vt6OUjw+JWAELeA1/MPzqR3Woo9PJTqQ9GyQs8yySEtI8KYBFoMjEEtgp&#10;JllaAK8r/v+F+gdQSwMEFAAAAAgAh07iQNpMnq3JAQAApgMAAA4AAABkcnMvZTJvRG9jLnhtbK1T&#10;TW/bMAy9D9h/EHRf7KZIGxhxCrRBhgHDNqDdD5Bl2Ragr5FK7Pz7UYqTbt2lh/lgUyT1yPdIbx4m&#10;a9hRAWrvan6zKDlTTvpWu77mP1/2n9acYRSuFcY7VfOTQv6w/fhhM4ZKLf3gTauAEYjDagw1H2IM&#10;VVGgHJQVuPBBOQp2HqyIdIS+aEGMhG5NsSzLu2L00AbwUiGSd3cO8hkR3gPou05LtfPyYJWLZ1RQ&#10;RkSihIMOyLe5265TMn7vOlSRmZoT05jfVITsJr2L7UZUPYgwaDm3IN7TwhtOVmhHRa9QOxEFO4D+&#10;B8pqCR59FxfS2+JMJCtCLG7KN9o8DyKozIWkxnAVHf8frPx2/AFMt7QJnDlhaeCd3QMZt0mbMWBF&#10;Kc+BkuL06KeUN/uRnIny1IFNXyLDKE7Knq7KqikySc7Vulze3VJIUmx1f79eZemL19sBMH5W3rJk&#10;1BxocllQcfyKkSpS6iUlFUNvdLvXxuQD9M2TAXYUNOV9flKTdOWvNONSsvPp2jmcPEXieOaSrDg1&#10;00yw8e2JeI+0HTXHXwcBijPzxZH8aZUuBlyM5mIcAuh+IBZZq1yAxpcbmlct7cef59zG6++1/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Ustv2QAAAAoBAAAPAAAAAAAAAAEAIAAAACIAAABkcnMv&#10;ZG93bnJldi54bWxQSwECFAAUAAAACACHTuJA2kyerckBAACmAwAADgAAAAAAAAABACAAAAAoAQAA&#10;ZHJzL2Uyb0RvYy54bWxQSwUGAAAAAAYABgBZAQAAYwUAAAAA&#10;">
                <v:fill on="t" focussize="0,0"/>
                <v:stroke on="f"/>
                <v:imagedata o:title=""/>
                <o:lock v:ext="edit" aspectratio="f"/>
                <v:textbox inset="0mm,0mm,0mm,0mm">
                  <w:txbxContent>
                    <w:p w14:paraId="01F39F86">
                      <w:pPr>
                        <w:pStyle w:val="157"/>
                        <w:rPr>
                          <w:rFonts w:ascii="黑体" w:hAnsi="黑体" w:eastAsia="黑体" w:cs="黑体"/>
                        </w:rPr>
                      </w:pPr>
                      <w:r>
                        <w:rPr>
                          <w:rFonts w:hint="eastAsia" w:ascii="黑体" w:hAnsi="黑体" w:eastAsia="黑体" w:cs="黑体"/>
                        </w:rPr>
                        <w:t>T/CAFFCI  XXXX—202X</w:t>
                      </w:r>
                    </w:p>
                    <w:p w14:paraId="35CB712A">
                      <w:pPr>
                        <w:pStyle w:val="157"/>
                        <w:rPr>
                          <w:rFonts w:ascii="黑体" w:eastAsia="黑体"/>
                          <w:b/>
                        </w:rPr>
                      </w:pPr>
                    </w:p>
                  </w:txbxContent>
                </v:textbox>
                <w10:anchorlock/>
              </v:shap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0</wp:posOffset>
                </wp:positionV>
                <wp:extent cx="2540000" cy="657860"/>
                <wp:effectExtent l="0" t="0" r="0" b="2540"/>
                <wp:wrapNone/>
                <wp:docPr id="10"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369F24C">
                            <w:pPr>
                              <w:pStyle w:val="137"/>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137"/>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0B124879"/>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8480;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JALDmDIAQAApwMAAA4AAABkcnMvZTJvRG9jLnhtbK1TTY/TMBC9&#10;I/EfLN9p0ootq6jpSlAVISFA2uUHOI6TWPIXM26T/nvGTtOF5bIHfHDGM+M3854nu4fJGnZWgNq7&#10;mq9XJWfKSd9q19f859Px3T1nGIVrhfFO1fyikD/s377ZjaFSGz940ypgBOKwGkPNhxhDVRQoB2UF&#10;rnxQjoKdBysiHaEvWhAjoVtTbMpyW4we2gBeKkTyHuYgvyLCawB912mpDl6erHJxRgVlRCRKOOiA&#10;fJ+77Tol4/euQxWZqTkxjXmnImQ3aS/2O1H1IMKg5bUF8ZoWXnCyQjsqeoM6iCjYCfQ/UFZL8Oi7&#10;uJLeFjORrAixWJcvtHkcRFCZC0mN4SY6/j9Y+e38A5huaRJIEicsvXhnj0DGOokzBqwo5zFQVpw+&#10;+okSFz+SM3GeOrDpS2wYxQnncpNWTZFJcm7u3pe0OJMU2959uN9m7Yvn2wEwflbesmTUHOjpsqLi&#10;/BUjdUKpS0oqht7o9qiNyQfom08G2FnQMx/zSk3Slb/SjEvJzqdrczh5isRx5pKsODXTlXjj2wvx&#10;Hmk8ao6/TgIUZ+aLI/2JSVwMWIxmMU4BdD8Qi6xVLkDvlxu6zloakD/PuY3n/2v/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CQCw5gyAEAAKcDAAAOAAAAAAAAAAEAIAAAACIBAABkcnMvZTJv&#10;RG9jLnhtbFBLBQYAAAAABgAGAFkBAABcBQAAAAA=&#10;">
                <v:fill on="t" focussize="0,0"/>
                <v:stroke on="f"/>
                <v:imagedata o:title=""/>
                <o:lock v:ext="edit" aspectratio="f"/>
                <v:textbox inset="0mm,0mm,0mm,0mm">
                  <w:txbxContent>
                    <w:p w14:paraId="2369F24C">
                      <w:pPr>
                        <w:pStyle w:val="137"/>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137"/>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0B124879"/>
                  </w:txbxContent>
                </v:textbox>
                <w10:anchorlock/>
              </v:shape>
            </w:pict>
          </mc:Fallback>
        </mc:AlternateContent>
      </w:r>
    </w:p>
    <w:p w14:paraId="6D1E0C30">
      <w:pPr>
        <w:pStyle w:val="142"/>
        <w:rPr>
          <w:rFonts w:ascii="Times New Roman" w:hAnsi="Times New Roman"/>
        </w:rPr>
      </w:pPr>
      <w:r>
        <w:rPr>
          <w:rFonts w:ascii="Times New Roman" w:hAnsi="Times New Roman"/>
        </w:rPr>
        <w:t>前  言</w:t>
      </w:r>
    </w:p>
    <w:p w14:paraId="37B3E868">
      <w:pPr>
        <w:pStyle w:val="32"/>
        <w:spacing w:after="0" w:line="240" w:lineRule="auto"/>
        <w:rPr>
          <w:rFonts w:hint="eastAsia" w:hAnsi="宋体" w:cs="宋体"/>
          <w:color w:val="000000"/>
          <w:szCs w:val="21"/>
        </w:rPr>
      </w:pPr>
      <w:bookmarkStart w:id="3" w:name="_Hlk173423098"/>
      <w:r>
        <w:rPr>
          <w:rFonts w:hint="eastAsia" w:hAnsi="宋体" w:cs="宋体"/>
        </w:rPr>
        <w:t>本文件</w:t>
      </w:r>
      <w:r>
        <w:rPr>
          <w:rFonts w:hint="eastAsia" w:hAnsi="宋体" w:cs="宋体"/>
          <w:szCs w:val="21"/>
          <w:lang w:val="zh-CN"/>
        </w:rPr>
        <w:t>按照</w:t>
      </w:r>
      <w:r>
        <w:rPr>
          <w:rFonts w:hint="eastAsia" w:hAnsi="宋体" w:cs="宋体"/>
          <w:szCs w:val="21"/>
        </w:rPr>
        <w:t>GB/T 1.1-2020《标准化工作导则 第1部分：标准化文件的结构和起草规则》和</w:t>
      </w:r>
      <w:r>
        <w:rPr>
          <w:bCs/>
          <w:color w:val="000000"/>
          <w:szCs w:val="21"/>
        </w:rPr>
        <w:t>GB/T 20001.4-2015</w:t>
      </w:r>
      <w:r>
        <w:rPr>
          <w:rFonts w:hint="eastAsia"/>
          <w:bCs/>
          <w:color w:val="000000"/>
          <w:szCs w:val="21"/>
        </w:rPr>
        <w:t>《</w:t>
      </w:r>
      <w:r>
        <w:rPr>
          <w:bCs/>
          <w:color w:val="000000"/>
          <w:szCs w:val="21"/>
        </w:rPr>
        <w:t>标准编写规则 第4部分：试验方法标准</w:t>
      </w:r>
      <w:r>
        <w:rPr>
          <w:rFonts w:hint="eastAsia"/>
          <w:bCs/>
          <w:color w:val="000000"/>
          <w:szCs w:val="21"/>
        </w:rPr>
        <w:t>》</w:t>
      </w:r>
      <w:r>
        <w:rPr>
          <w:rFonts w:hint="eastAsia" w:hAnsi="宋体" w:cs="宋体"/>
          <w:szCs w:val="21"/>
          <w:lang w:val="zh-CN"/>
        </w:rPr>
        <w:t>的规定起草</w:t>
      </w:r>
      <w:r>
        <w:rPr>
          <w:rFonts w:hint="eastAsia" w:hAnsi="宋体" w:cs="宋体"/>
          <w:color w:val="000000"/>
          <w:szCs w:val="21"/>
        </w:rPr>
        <w:t>。</w:t>
      </w:r>
    </w:p>
    <w:p w14:paraId="089CE096">
      <w:pPr>
        <w:pStyle w:val="32"/>
        <w:spacing w:after="0" w:line="240" w:lineRule="auto"/>
        <w:rPr>
          <w:rFonts w:hint="eastAsia" w:hAnsi="宋体" w:cs="宋体"/>
        </w:rPr>
      </w:pPr>
      <w:r>
        <w:rPr>
          <w:rFonts w:hint="eastAsia" w:hAnsi="宋体" w:cs="宋体"/>
        </w:rPr>
        <w:t>本文件由中国香料香精化妆品工业协会提出并归口。</w:t>
      </w:r>
    </w:p>
    <w:p w14:paraId="59DEFD7E">
      <w:pPr>
        <w:pStyle w:val="32"/>
        <w:spacing w:after="0" w:line="240" w:lineRule="auto"/>
        <w:rPr>
          <w:rFonts w:hint="eastAsia" w:hAnsi="宋体" w:cs="宋体"/>
        </w:rPr>
      </w:pPr>
      <w:r>
        <w:rPr>
          <w:rFonts w:hint="eastAsia" w:hAnsi="宋体" w:cs="宋体"/>
        </w:rPr>
        <w:t>本文件起草单位：</w:t>
      </w:r>
      <w:r>
        <w:rPr>
          <w:rFonts w:hint="eastAsia" w:hAnsi="宋体" w:cs="宋体"/>
          <w:bCs/>
          <w:color w:val="000000"/>
          <w:szCs w:val="21"/>
        </w:rPr>
        <w:t>新疆维吾尔自治区药品检验研究院、鲁美科斯仪器科技（天津）有限公司、湖南省药品检验检测研究院、国家环境分析测试中心、新疆维吾尔自治区生态环境监测总站、新疆生产建设</w:t>
      </w:r>
      <w:bookmarkStart w:id="9" w:name="_GoBack"/>
      <w:bookmarkEnd w:id="9"/>
      <w:r>
        <w:rPr>
          <w:rFonts w:hint="eastAsia" w:hAnsi="宋体" w:cs="宋体"/>
        </w:rPr>
        <w:t xml:space="preserve">兵团生态环境第一监测站。 </w:t>
      </w:r>
    </w:p>
    <w:p w14:paraId="53FC3415">
      <w:pPr>
        <w:pStyle w:val="32"/>
        <w:spacing w:after="0" w:line="240" w:lineRule="auto"/>
        <w:rPr>
          <w:rFonts w:hint="eastAsia" w:hAnsi="宋体" w:cs="宋体"/>
        </w:rPr>
      </w:pPr>
      <w:r>
        <w:rPr>
          <w:rFonts w:hint="eastAsia" w:hAnsi="宋体" w:cs="宋体"/>
        </w:rPr>
        <w:t>本文件主要起草人：张明玥、古丽努尔</w:t>
      </w:r>
      <w:r>
        <w:rPr>
          <w:rFonts w:ascii="Cambria Math" w:hAnsi="Cambria Math" w:cs="Cambria Math"/>
        </w:rPr>
        <w:t>∙</w:t>
      </w:r>
      <w:r>
        <w:rPr>
          <w:rFonts w:hint="eastAsia" w:hAnsi="宋体" w:cs="宋体"/>
        </w:rPr>
        <w:t>塔西铁木尔、穆晓娟、余振喜、艾买提江</w:t>
      </w:r>
      <w:r>
        <w:rPr>
          <w:rFonts w:ascii="Cambria Math" w:hAnsi="Cambria Math" w:cs="Cambria Math"/>
        </w:rPr>
        <w:t>∙</w:t>
      </w:r>
      <w:r>
        <w:rPr>
          <w:rFonts w:hint="eastAsia" w:hAnsi="宋体" w:cs="宋体"/>
        </w:rPr>
        <w:t>阿衣甫别克、朱毅忠、陆玉坡、张超、李国英、潘小红、殷帅、刘岩、俞奔、马超、罗磊、王立彬、万卫国。</w:t>
      </w:r>
    </w:p>
    <w:p w14:paraId="69F3A3DD">
      <w:pPr>
        <w:pStyle w:val="32"/>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请注意本文件的某些内容可能涉及专利。本文件的发布机构不承担识别专利的责任。</w:t>
      </w:r>
    </w:p>
    <w:p w14:paraId="1A199A7B">
      <w:pPr>
        <w:pStyle w:val="32"/>
        <w:spacing w:after="0" w:line="240" w:lineRule="auto"/>
        <w:rPr>
          <w:rFonts w:hint="eastAsia" w:hAnsi="宋体" w:cs="宋体"/>
        </w:rPr>
      </w:pPr>
    </w:p>
    <w:p w14:paraId="419D94E4">
      <w:pPr>
        <w:pStyle w:val="32"/>
        <w:spacing w:after="0" w:line="240" w:lineRule="auto"/>
        <w:rPr>
          <w:rFonts w:hint="eastAsia" w:hAnsi="宋体" w:cs="宋体"/>
        </w:rPr>
      </w:pPr>
    </w:p>
    <w:bookmarkEnd w:id="3"/>
    <w:p w14:paraId="2C52C5E6">
      <w:pPr>
        <w:pStyle w:val="32"/>
        <w:spacing w:after="0" w:line="240" w:lineRule="auto"/>
        <w:rPr>
          <w:rFonts w:ascii="Times New Roman" w:hAnsi="Times New Roman"/>
        </w:rPr>
      </w:pPr>
    </w:p>
    <w:p w14:paraId="61625109">
      <w:pPr>
        <w:pStyle w:val="32"/>
        <w:spacing w:after="0" w:line="240" w:lineRule="auto"/>
        <w:rPr>
          <w:rFonts w:ascii="Times New Roman" w:hAnsi="Times New Roman"/>
        </w:rPr>
      </w:pPr>
    </w:p>
    <w:p w14:paraId="3E7866B7">
      <w:pPr>
        <w:pStyle w:val="80"/>
        <w:spacing w:before="156" w:beforeLines="50" w:after="156" w:afterLines="50" w:line="240" w:lineRule="auto"/>
        <w:jc w:val="center"/>
        <w:rPr>
          <w:rFonts w:hint="eastAsia" w:ascii="Times New Roman" w:hAnsi="Times New Roman"/>
          <w:kern w:val="2"/>
          <w:sz w:val="32"/>
          <w:szCs w:val="32"/>
        </w:rPr>
        <w:sectPr>
          <w:headerReference r:id="rId9" w:type="first"/>
          <w:footerReference r:id="rId12" w:type="first"/>
          <w:footerReference r:id="rId10" w:type="default"/>
          <w:footerReference r:id="rId11" w:type="even"/>
          <w:pgSz w:w="11906" w:h="16838"/>
          <w:pgMar w:top="787" w:right="1134" w:bottom="1134" w:left="1418" w:header="907" w:footer="1134" w:gutter="0"/>
          <w:pgNumType w:fmt="upperRoman" w:start="1"/>
          <w:cols w:space="720" w:num="1"/>
          <w:formProt w:val="0"/>
          <w:titlePg/>
          <w:docGrid w:type="lines" w:linePitch="312" w:charSpace="0"/>
        </w:sectPr>
      </w:pPr>
    </w:p>
    <w:p w14:paraId="46EC269F">
      <w:pPr>
        <w:pStyle w:val="80"/>
        <w:spacing w:before="156" w:beforeLines="50" w:after="156" w:afterLines="50" w:line="240" w:lineRule="auto"/>
        <w:jc w:val="center"/>
        <w:rPr>
          <w:rFonts w:hint="eastAsia" w:ascii="Times New Roman" w:hAnsi="Times New Roman"/>
          <w:kern w:val="2"/>
          <w:sz w:val="32"/>
          <w:szCs w:val="32"/>
        </w:rPr>
      </w:pPr>
      <w:r>
        <w:rPr>
          <w:rFonts w:hint="eastAsia" w:ascii="Times New Roman" w:hAnsi="Times New Roman"/>
          <w:kern w:val="2"/>
          <w:sz w:val="32"/>
          <w:szCs w:val="32"/>
        </w:rPr>
        <w:t>化妆品中总汞含量的测定</w:t>
      </w:r>
    </w:p>
    <w:p w14:paraId="39FF9CA2">
      <w:pPr>
        <w:pStyle w:val="80"/>
        <w:spacing w:before="156" w:beforeLines="50" w:after="156" w:afterLines="50" w:line="240" w:lineRule="auto"/>
        <w:jc w:val="center"/>
        <w:rPr>
          <w:rFonts w:hint="eastAsia" w:ascii="Times New Roman" w:hAnsi="Times New Roman"/>
          <w:kern w:val="2"/>
          <w:sz w:val="32"/>
          <w:szCs w:val="32"/>
        </w:rPr>
      </w:pPr>
      <w:r>
        <w:rPr>
          <w:rFonts w:hint="eastAsia" w:ascii="Times New Roman" w:hAnsi="Times New Roman"/>
          <w:kern w:val="2"/>
          <w:sz w:val="32"/>
          <w:szCs w:val="32"/>
        </w:rPr>
        <w:t>电热-塞曼效应原子吸收光谱法</w:t>
      </w:r>
    </w:p>
    <w:p w14:paraId="74FF2ABE">
      <w:pPr>
        <w:pStyle w:val="80"/>
        <w:numPr>
          <w:ilvl w:val="0"/>
          <w:numId w:val="19"/>
        </w:numPr>
        <w:spacing w:before="156" w:beforeLines="50" w:after="156" w:afterLines="50" w:line="360" w:lineRule="auto"/>
        <w:ind w:left="0" w:firstLine="0"/>
        <w:rPr>
          <w:rFonts w:hint="eastAsia"/>
        </w:rPr>
      </w:pPr>
      <w:bookmarkStart w:id="4" w:name="_Toc20844361"/>
      <w:r>
        <w:rPr>
          <w:rFonts w:hint="eastAsia" w:ascii="Times New Roman" w:hAnsi="Times New Roman"/>
        </w:rPr>
        <w:t>范围</w:t>
      </w:r>
      <w:bookmarkEnd w:id="4"/>
    </w:p>
    <w:p w14:paraId="61F2F9BC">
      <w:pPr>
        <w:keepNext w:val="0"/>
        <w:keepLines w:val="0"/>
        <w:pageBreakBefore w:val="0"/>
        <w:widowControl w:val="0"/>
        <w:kinsoku/>
        <w:wordWrap/>
        <w:overflowPunct/>
        <w:topLinePunct w:val="0"/>
        <w:autoSpaceDE/>
        <w:autoSpaceDN/>
        <w:bidi w:val="0"/>
        <w:adjustRightInd/>
        <w:snapToGrid/>
        <w:spacing w:line="320" w:lineRule="atLeast"/>
        <w:textAlignment w:val="auto"/>
      </w:pPr>
      <w:bookmarkStart w:id="5" w:name="_Toc20844362"/>
      <w:r>
        <w:t>本文件</w:t>
      </w:r>
      <w:r>
        <w:rPr>
          <w:rFonts w:hint="eastAsia"/>
        </w:rPr>
        <w:t>描述</w:t>
      </w:r>
      <w:r>
        <w:t>了电热-塞曼效应原子吸收光谱法测定化妆品中总汞含量的方法。</w:t>
      </w:r>
    </w:p>
    <w:p w14:paraId="7C137788">
      <w:pPr>
        <w:keepNext w:val="0"/>
        <w:keepLines w:val="0"/>
        <w:pageBreakBefore w:val="0"/>
        <w:widowControl w:val="0"/>
        <w:kinsoku/>
        <w:wordWrap/>
        <w:overflowPunct/>
        <w:topLinePunct w:val="0"/>
        <w:autoSpaceDE/>
        <w:autoSpaceDN/>
        <w:bidi w:val="0"/>
        <w:adjustRightInd/>
        <w:snapToGrid/>
        <w:spacing w:line="320" w:lineRule="atLeast"/>
        <w:textAlignment w:val="auto"/>
      </w:pPr>
      <w:r>
        <w:t>本文件适用于液态水基类、膏霜类、乳液类、粉类、蜡基类化妆品中总汞的测定。</w:t>
      </w:r>
    </w:p>
    <w:p w14:paraId="1E71D01D">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ascii="宋体" w:hAnsi="宋体" w:cs="宋体"/>
        </w:rPr>
        <w:t>本方法对汞</w:t>
      </w:r>
      <w:r>
        <w:t>的检出限为0.02 ng，定量下限为0.06 ng；取样量为0.05g时，膏霜类、乳液类、粉类、蜡基类化妆品方法的检出浓度为0.4 ng·g-1，最低定量浓度为1.2ng·g-1，取样量为200μL时，液态水基类化妆品方法的检出浓度为0.1 ng· mL-1，最低定量浓度为0.3ng· mL -1。</w:t>
      </w:r>
    </w:p>
    <w:bookmarkEnd w:id="5"/>
    <w:p w14:paraId="0D1AD8B5">
      <w:pPr>
        <w:pStyle w:val="80"/>
        <w:numPr>
          <w:ilvl w:val="0"/>
          <w:numId w:val="19"/>
        </w:numPr>
        <w:spacing w:before="156" w:beforeLines="50" w:after="156" w:afterLines="50" w:line="360" w:lineRule="auto"/>
        <w:ind w:left="0" w:firstLine="0"/>
        <w:rPr>
          <w:rFonts w:hint="eastAsia" w:ascii="Times New Roman" w:hAnsi="Times New Roman"/>
        </w:rPr>
      </w:pPr>
      <w:bookmarkStart w:id="6" w:name="_Toc20844364"/>
      <w:r>
        <w:rPr>
          <w:rFonts w:hint="eastAsia" w:ascii="Times New Roman" w:hAnsi="Times New Roman"/>
        </w:rPr>
        <w:t>规范性引用文件</w:t>
      </w:r>
    </w:p>
    <w:p w14:paraId="75CDB228">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DA71C64">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hint="eastAsia"/>
        </w:rPr>
        <w:t>GB/T 6682  分析实验室用水规格和试验方法</w:t>
      </w:r>
    </w:p>
    <w:p w14:paraId="2B143FDE">
      <w:pPr>
        <w:pStyle w:val="80"/>
        <w:numPr>
          <w:ilvl w:val="0"/>
          <w:numId w:val="19"/>
        </w:numPr>
        <w:spacing w:before="156" w:beforeLines="50" w:after="156" w:afterLines="50" w:line="360" w:lineRule="auto"/>
        <w:ind w:left="0" w:firstLine="0"/>
        <w:rPr>
          <w:rFonts w:ascii="Times New Roman" w:hAnsi="Times New Roman"/>
        </w:rPr>
      </w:pPr>
      <w:r>
        <w:rPr>
          <w:rFonts w:hint="eastAsia" w:ascii="Times New Roman" w:hAnsi="Times New Roman"/>
        </w:rPr>
        <w:t>规范性引用文件</w:t>
      </w:r>
      <w:r>
        <w:rPr>
          <w:rFonts w:hAnsi="黑体"/>
          <w:b/>
          <w:color w:val="000000"/>
        </w:rPr>
        <w:br w:type="textWrapping"/>
      </w:r>
      <w:r>
        <w:rPr>
          <w:rFonts w:hint="eastAsia" w:ascii="Calibri" w:eastAsia="宋体"/>
          <w:kern w:val="2"/>
          <w:szCs w:val="24"/>
        </w:rPr>
        <w:t xml:space="preserve">    本文件没有需要界定的术语和定义。</w:t>
      </w:r>
    </w:p>
    <w:p w14:paraId="430DAA25">
      <w:pPr>
        <w:pStyle w:val="109"/>
        <w:rPr>
          <w:rFonts w:hint="eastAsia"/>
        </w:rPr>
      </w:pPr>
      <w:r>
        <w:rPr>
          <w:rFonts w:hint="eastAsia"/>
        </w:rPr>
        <w:t>方法原理</w:t>
      </w:r>
    </w:p>
    <w:p w14:paraId="0B5F631F">
      <w:pPr>
        <w:keepNext w:val="0"/>
        <w:keepLines w:val="0"/>
        <w:pageBreakBefore w:val="0"/>
        <w:widowControl w:val="0"/>
        <w:kinsoku/>
        <w:wordWrap/>
        <w:overflowPunct/>
        <w:topLinePunct w:val="0"/>
        <w:autoSpaceDE/>
        <w:autoSpaceDN/>
        <w:bidi w:val="0"/>
        <w:adjustRightInd/>
        <w:snapToGrid/>
        <w:spacing w:line="320" w:lineRule="atLeast"/>
        <w:textAlignment w:val="auto"/>
      </w:pPr>
      <w:r>
        <w:t>汞元素具有稳定的原子态，当通过电加热的方式分解试样时，可以将试样中的结合态汞释放出来，并随载气通过石英分析池，结合高频偏振塞曼效应背景校正技术，基于汞原子蒸汽对253.7nm共振谱线的特征吸收，对试样中的总汞含量进行测定。</w:t>
      </w:r>
    </w:p>
    <w:p w14:paraId="3BA97743">
      <w:pPr>
        <w:pStyle w:val="109"/>
        <w:rPr>
          <w:rFonts w:hint="eastAsia"/>
        </w:rPr>
      </w:pPr>
      <w:r>
        <w:rPr>
          <w:rFonts w:hint="eastAsia"/>
        </w:rPr>
        <w:t>仪器和设备</w:t>
      </w:r>
    </w:p>
    <w:p w14:paraId="791C536B">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5</w:t>
      </w:r>
      <w:r>
        <w:rPr>
          <w:rFonts w:hint="eastAsia"/>
          <w:b/>
          <w:bCs/>
        </w:rPr>
        <w:t xml:space="preserve">.1 </w:t>
      </w:r>
      <w:r>
        <w:rPr>
          <w:rFonts w:hint="eastAsia"/>
        </w:rPr>
        <w:t>电热-塞曼效应原子吸收测汞仪；</w:t>
      </w:r>
    </w:p>
    <w:p w14:paraId="12DBAA87">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5</w:t>
      </w:r>
      <w:r>
        <w:rPr>
          <w:rFonts w:hint="eastAsia"/>
          <w:b/>
          <w:bCs/>
        </w:rPr>
        <w:t xml:space="preserve">.2 </w:t>
      </w:r>
      <w:r>
        <w:rPr>
          <w:rFonts w:hint="eastAsia"/>
        </w:rPr>
        <w:t>分析天平；</w:t>
      </w:r>
    </w:p>
    <w:p w14:paraId="080248A2">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rPr>
          <w:color w:val="000000"/>
        </w:rPr>
      </w:pPr>
      <w:r>
        <w:rPr>
          <w:rFonts w:hint="eastAsia"/>
          <w:b/>
          <w:lang w:val="en-US" w:eastAsia="zh-CN"/>
        </w:rPr>
        <w:t>5</w:t>
      </w:r>
      <w:r>
        <w:rPr>
          <w:rFonts w:hint="eastAsia"/>
          <w:b/>
        </w:rPr>
        <w:t xml:space="preserve">.3 </w:t>
      </w:r>
      <w:r>
        <w:rPr>
          <w:rFonts w:hint="eastAsia"/>
        </w:rPr>
        <w:t>样品舟包括</w:t>
      </w:r>
      <w:r>
        <w:rPr>
          <w:color w:val="000000"/>
        </w:rPr>
        <w:t>石英舟</w:t>
      </w:r>
      <w:r>
        <w:rPr>
          <w:rFonts w:hint="eastAsia"/>
          <w:color w:val="000000"/>
        </w:rPr>
        <w:t>、陶瓷舟或</w:t>
      </w:r>
      <w:r>
        <w:rPr>
          <w:rFonts w:hint="eastAsia"/>
        </w:rPr>
        <w:t>镍舟；</w:t>
      </w:r>
    </w:p>
    <w:p w14:paraId="071042E4">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5</w:t>
      </w:r>
      <w:r>
        <w:rPr>
          <w:rFonts w:hint="eastAsia"/>
          <w:b/>
          <w:bCs/>
        </w:rPr>
        <w:t xml:space="preserve">.4 </w:t>
      </w:r>
      <w:r>
        <w:rPr>
          <w:rFonts w:hint="eastAsia"/>
        </w:rPr>
        <w:t>容量瓶；</w:t>
      </w:r>
    </w:p>
    <w:p w14:paraId="03DEC4ED">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lang w:val="en-US" w:eastAsia="zh-CN"/>
        </w:rPr>
        <w:t>5</w:t>
      </w:r>
      <w:r>
        <w:rPr>
          <w:rFonts w:hint="eastAsia"/>
          <w:b/>
        </w:rPr>
        <w:t xml:space="preserve">.5 </w:t>
      </w:r>
      <w:r>
        <w:rPr>
          <w:rFonts w:hint="eastAsia"/>
        </w:rPr>
        <w:t>移液器。</w:t>
      </w:r>
    </w:p>
    <w:p w14:paraId="32BD79C9">
      <w:pPr>
        <w:pStyle w:val="109"/>
        <w:rPr>
          <w:rFonts w:hint="eastAsia"/>
        </w:rPr>
      </w:pPr>
      <w:r>
        <w:rPr>
          <w:rFonts w:hint="eastAsia"/>
        </w:rPr>
        <w:t>试剂</w:t>
      </w:r>
    </w:p>
    <w:p w14:paraId="47449AEC">
      <w:pPr>
        <w:pStyle w:val="174"/>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t>除非另有规定外，本方法所用试剂均为分析纯或以上规格，水为GB/T6682规定的一级水。</w:t>
      </w:r>
    </w:p>
    <w:p w14:paraId="62F27A12">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6</w:t>
      </w:r>
      <w:r>
        <w:rPr>
          <w:b/>
          <w:bCs/>
        </w:rPr>
        <w:t>.1</w:t>
      </w:r>
      <w:r>
        <w:rPr>
          <w:rFonts w:hint="eastAsia"/>
          <w:b/>
          <w:bCs/>
        </w:rPr>
        <w:t xml:space="preserve"> </w:t>
      </w:r>
      <w:r>
        <w:t>硝酸（HNO</w:t>
      </w:r>
      <w:r>
        <w:rPr>
          <w:vertAlign w:val="subscript"/>
        </w:rPr>
        <w:t>3</w:t>
      </w:r>
      <w:r>
        <w:t>）：优级纯；</w:t>
      </w:r>
    </w:p>
    <w:p w14:paraId="4E858F71">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6</w:t>
      </w:r>
      <w:r>
        <w:rPr>
          <w:b/>
          <w:bCs/>
        </w:rPr>
        <w:t>.2</w:t>
      </w:r>
      <w:r>
        <w:rPr>
          <w:rFonts w:hint="eastAsia"/>
          <w:b/>
          <w:bCs/>
          <w:lang w:val="en-US" w:eastAsia="zh-CN"/>
        </w:rPr>
        <w:t xml:space="preserve"> </w:t>
      </w:r>
      <w:r>
        <w:t>重铬酸钾（K</w:t>
      </w:r>
      <w:r>
        <w:rPr>
          <w:vertAlign w:val="subscript"/>
        </w:rPr>
        <w:t>2</w:t>
      </w:r>
      <w:r>
        <w:t>Cr</w:t>
      </w:r>
      <w:r>
        <w:rPr>
          <w:vertAlign w:val="subscript"/>
        </w:rPr>
        <w:t>2</w:t>
      </w:r>
      <w:r>
        <w:t>O</w:t>
      </w:r>
      <w:r>
        <w:rPr>
          <w:vertAlign w:val="subscript"/>
        </w:rPr>
        <w:t>7</w:t>
      </w:r>
      <w:r>
        <w:t>）：优级纯；</w:t>
      </w:r>
    </w:p>
    <w:p w14:paraId="77D4F069">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6</w:t>
      </w:r>
      <w:r>
        <w:rPr>
          <w:b/>
          <w:bCs/>
        </w:rPr>
        <w:t>.3</w:t>
      </w:r>
      <w:r>
        <w:t xml:space="preserve"> 体积分数5%硝酸（体积分数0.05%</w:t>
      </w:r>
      <w:r>
        <w:rPr>
          <w:szCs w:val="21"/>
        </w:rPr>
        <w:t>重铬酸钾</w:t>
      </w:r>
      <w:r>
        <w:t>）：将0.5 g重铬酸钾（5.2）溶于950 ml蒸馏水中，再加50 ml硝酸（5.1）；</w:t>
      </w:r>
    </w:p>
    <w:p w14:paraId="62CA7FA8">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6</w:t>
      </w:r>
      <w:r>
        <w:rPr>
          <w:b/>
          <w:bCs/>
        </w:rPr>
        <w:t>.4</w:t>
      </w:r>
      <w:r>
        <w:rPr>
          <w:rFonts w:hint="eastAsia"/>
          <w:b/>
          <w:bCs/>
        </w:rPr>
        <w:t xml:space="preserve"> </w:t>
      </w:r>
      <w:r>
        <w:t>汞标准溶液：ρ（Hg）=1000μg/mL。可直接购买市售有证标准溶液，或用标准物质配制；</w:t>
      </w:r>
    </w:p>
    <w:p w14:paraId="5F3B9190">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szCs w:val="21"/>
          <w:lang w:val="en-US" w:eastAsia="zh-CN"/>
        </w:rPr>
        <w:t>6</w:t>
      </w:r>
      <w:r>
        <w:rPr>
          <w:b/>
          <w:bCs/>
          <w:szCs w:val="21"/>
        </w:rPr>
        <w:t>.5</w:t>
      </w:r>
      <w:r>
        <w:rPr>
          <w:rFonts w:hint="eastAsia"/>
          <w:b/>
          <w:bCs/>
          <w:szCs w:val="21"/>
        </w:rPr>
        <w:t xml:space="preserve"> </w:t>
      </w:r>
      <w:r>
        <w:rPr>
          <w:szCs w:val="21"/>
        </w:rPr>
        <w:t>汞标准工作溶液：</w:t>
      </w:r>
      <w:r>
        <w:t>ρ（Hg）=10 μg/ mL。取汞标准溶液（5.4）1.0 ml，置于100 ml容量瓶中，用体积分数5%硝酸（体积分数0.05%</w:t>
      </w:r>
      <w:r>
        <w:rPr>
          <w:szCs w:val="21"/>
        </w:rPr>
        <w:t>重铬酸钾</w:t>
      </w:r>
      <w:r>
        <w:t>）（5.3）定容至刻度，混匀；</w:t>
      </w:r>
    </w:p>
    <w:p w14:paraId="2022E3C2">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6</w:t>
      </w:r>
      <w:r>
        <w:rPr>
          <w:b/>
          <w:bCs/>
        </w:rPr>
        <w:t>.6</w:t>
      </w:r>
      <w:r>
        <w:rPr>
          <w:rFonts w:hint="eastAsia"/>
          <w:b/>
          <w:bCs/>
        </w:rPr>
        <w:t xml:space="preserve"> </w:t>
      </w:r>
      <w:r>
        <w:t>活性炭：粒径2mm～3mm，使用前上机热解一次以排除吸附的汞；</w:t>
      </w:r>
    </w:p>
    <w:p w14:paraId="31934A6A">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6</w:t>
      </w:r>
      <w:r>
        <w:rPr>
          <w:b/>
          <w:bCs/>
        </w:rPr>
        <w:t>.7</w:t>
      </w:r>
      <w:r>
        <w:rPr>
          <w:rFonts w:hint="eastAsia"/>
          <w:b/>
          <w:bCs/>
        </w:rPr>
        <w:t xml:space="preserve"> </w:t>
      </w:r>
      <w:r>
        <w:t>无水碳酸钠（Na</w:t>
      </w:r>
      <w:r>
        <w:rPr>
          <w:vertAlign w:val="subscript"/>
        </w:rPr>
        <w:t>2</w:t>
      </w:r>
      <w:r>
        <w:t>CO</w:t>
      </w:r>
      <w:r>
        <w:rPr>
          <w:vertAlign w:val="subscript"/>
        </w:rPr>
        <w:t>3</w:t>
      </w:r>
      <w:r>
        <w:t>）：分析纯；</w:t>
      </w:r>
    </w:p>
    <w:p w14:paraId="277D7C54">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pPr>
      <w:r>
        <w:rPr>
          <w:rFonts w:hint="eastAsia"/>
          <w:b/>
          <w:bCs/>
          <w:lang w:val="en-US" w:eastAsia="zh-CN"/>
        </w:rPr>
        <w:t>6</w:t>
      </w:r>
      <w:r>
        <w:rPr>
          <w:b/>
          <w:bCs/>
        </w:rPr>
        <w:t>.8</w:t>
      </w:r>
      <w:r>
        <w:rPr>
          <w:rFonts w:hint="eastAsia"/>
          <w:b/>
          <w:bCs/>
        </w:rPr>
        <w:t xml:space="preserve"> </w:t>
      </w:r>
      <w:r>
        <w:t>载气：不含汞的空气。</w:t>
      </w:r>
    </w:p>
    <w:p w14:paraId="78278299">
      <w:pPr>
        <w:pStyle w:val="109"/>
      </w:pPr>
      <w:r>
        <w:rPr>
          <w:rFonts w:hint="eastAsia"/>
        </w:rPr>
        <w:t>分析步骤</w:t>
      </w:r>
    </w:p>
    <w:p w14:paraId="51F2170D">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 xml:space="preserve">7.1 </w:t>
      </w:r>
      <w:r>
        <w:rPr>
          <w:rFonts w:hint="eastAsia"/>
        </w:rPr>
        <w:t>仪器准备</w:t>
      </w:r>
    </w:p>
    <w:p w14:paraId="74712770">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hint="eastAsia"/>
        </w:rPr>
        <w:t>开启电热-塞曼效应原子吸收测汞仪电源开关，预热一段时间至基线稳定。测量前，把空白样品舟放入该仪器部件电热原子化器空烧至无汞信号出现。</w:t>
      </w:r>
    </w:p>
    <w:p w14:paraId="7E75DDC9">
      <w:pPr>
        <w:ind w:firstLine="0" w:firstLineChars="0"/>
        <w:rPr>
          <w:b/>
          <w:bCs/>
        </w:rPr>
      </w:pPr>
    </w:p>
    <w:p w14:paraId="32C93B47">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 xml:space="preserve">7.2 </w:t>
      </w:r>
      <w:r>
        <w:rPr>
          <w:rFonts w:hint="eastAsia"/>
        </w:rPr>
        <w:t>仪器参考条件</w:t>
      </w:r>
    </w:p>
    <w:p w14:paraId="55893397">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hint="eastAsia"/>
        </w:rPr>
        <w:t>参照电热-塞曼效应原子吸收测汞仪说明，选择最佳条件。推荐仪器参考条件见表1。</w:t>
      </w:r>
    </w:p>
    <w:p w14:paraId="4A023326"/>
    <w:p w14:paraId="3004E8F8">
      <w:pPr>
        <w:ind w:firstLine="2520" w:firstLineChars="1200"/>
        <w:rPr>
          <w:bCs/>
        </w:rPr>
      </w:pPr>
      <w:r>
        <w:rPr>
          <w:rFonts w:hint="eastAsia"/>
          <w:bCs/>
        </w:rPr>
        <w:t>表1 电热-塞曼效应原子吸收测汞仪参考条件</w:t>
      </w:r>
    </w:p>
    <w:tbl>
      <w:tblPr>
        <w:tblStyle w:val="42"/>
        <w:tblW w:w="7867"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67"/>
        <w:gridCol w:w="2450"/>
        <w:gridCol w:w="2450"/>
      </w:tblGrid>
      <w:tr w14:paraId="74648C8D">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9" w:hRule="atLeast"/>
          <w:jc w:val="center"/>
        </w:trPr>
        <w:tc>
          <w:tcPr>
            <w:tcW w:w="2967" w:type="dxa"/>
            <w:tcBorders>
              <w:bottom w:val="single" w:color="auto" w:sz="4" w:space="0"/>
            </w:tcBorders>
            <w:vAlign w:val="center"/>
          </w:tcPr>
          <w:p w14:paraId="2A32A8C5">
            <w:pPr>
              <w:jc w:val="center"/>
            </w:pPr>
            <w:r>
              <w:t>项目</w:t>
            </w:r>
          </w:p>
        </w:tc>
        <w:tc>
          <w:tcPr>
            <w:tcW w:w="4900" w:type="dxa"/>
            <w:gridSpan w:val="2"/>
            <w:tcBorders>
              <w:bottom w:val="single" w:color="auto" w:sz="4" w:space="0"/>
            </w:tcBorders>
            <w:vAlign w:val="center"/>
          </w:tcPr>
          <w:p w14:paraId="595B3F64">
            <w:pPr>
              <w:jc w:val="center"/>
            </w:pPr>
            <w:r>
              <w:t>参数</w:t>
            </w:r>
          </w:p>
        </w:tc>
      </w:tr>
      <w:tr w14:paraId="6939B46C">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5" w:hRule="atLeast"/>
          <w:jc w:val="center"/>
        </w:trPr>
        <w:tc>
          <w:tcPr>
            <w:tcW w:w="2967" w:type="dxa"/>
            <w:tcBorders>
              <w:top w:val="single" w:color="auto" w:sz="4" w:space="0"/>
              <w:bottom w:val="single" w:color="auto" w:sz="4" w:space="0"/>
            </w:tcBorders>
            <w:vAlign w:val="center"/>
          </w:tcPr>
          <w:p w14:paraId="74C0BD76">
            <w:pPr>
              <w:jc w:val="center"/>
            </w:pPr>
            <w:r>
              <w:t>推荐运行加热模式</w:t>
            </w:r>
          </w:p>
        </w:tc>
        <w:tc>
          <w:tcPr>
            <w:tcW w:w="2450" w:type="dxa"/>
            <w:tcBorders>
              <w:top w:val="single" w:color="auto" w:sz="4" w:space="0"/>
              <w:bottom w:val="single" w:color="auto" w:sz="4" w:space="0"/>
            </w:tcBorders>
            <w:vAlign w:val="center"/>
          </w:tcPr>
          <w:p w14:paraId="37BF915F">
            <w:pPr>
              <w:jc w:val="center"/>
            </w:pPr>
            <w:r>
              <w:rPr>
                <w:rFonts w:hint="eastAsia"/>
              </w:rPr>
              <w:t>液态水基类</w:t>
            </w:r>
            <w:r>
              <w:rPr>
                <w:rFonts w:hAnsi="宋体"/>
              </w:rPr>
              <w:t>样品</w:t>
            </w:r>
          </w:p>
        </w:tc>
        <w:tc>
          <w:tcPr>
            <w:tcW w:w="2450" w:type="dxa"/>
            <w:tcBorders>
              <w:top w:val="single" w:color="auto" w:sz="4" w:space="0"/>
              <w:bottom w:val="single" w:color="auto" w:sz="4" w:space="0"/>
            </w:tcBorders>
          </w:tcPr>
          <w:p w14:paraId="0244FFE6">
            <w:pPr>
              <w:jc w:val="center"/>
            </w:pPr>
            <w:r>
              <w:rPr>
                <w:rFonts w:hint="eastAsia"/>
              </w:rPr>
              <w:t>膏霜类、乳液类、粉类、蜡基类</w:t>
            </w:r>
            <w:r>
              <w:rPr>
                <w:rFonts w:hAnsi="宋体"/>
              </w:rPr>
              <w:t>样品</w:t>
            </w:r>
          </w:p>
        </w:tc>
      </w:tr>
      <w:tr w14:paraId="592EF220">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6" w:hRule="atLeast"/>
          <w:jc w:val="center"/>
        </w:trPr>
        <w:tc>
          <w:tcPr>
            <w:tcW w:w="2967" w:type="dxa"/>
            <w:tcBorders>
              <w:top w:val="single" w:color="auto" w:sz="4" w:space="0"/>
              <w:bottom w:val="nil"/>
            </w:tcBorders>
            <w:vAlign w:val="center"/>
          </w:tcPr>
          <w:p w14:paraId="7D6743AC">
            <w:pPr>
              <w:jc w:val="center"/>
            </w:pPr>
            <w:r>
              <w:rPr>
                <w:rFonts w:hAnsi="宋体"/>
              </w:rPr>
              <w:t>气体流速（</w:t>
            </w:r>
            <w:r>
              <w:t xml:space="preserve">L/min </w:t>
            </w:r>
            <w:r>
              <w:rPr>
                <w:rFonts w:hAnsi="宋体"/>
              </w:rPr>
              <w:t>）</w:t>
            </w:r>
          </w:p>
        </w:tc>
        <w:tc>
          <w:tcPr>
            <w:tcW w:w="2450" w:type="dxa"/>
            <w:tcBorders>
              <w:top w:val="single" w:color="auto" w:sz="4" w:space="0"/>
              <w:bottom w:val="nil"/>
            </w:tcBorders>
            <w:vAlign w:val="center"/>
          </w:tcPr>
          <w:p w14:paraId="5734F3FF">
            <w:pPr>
              <w:jc w:val="center"/>
            </w:pPr>
            <w:r>
              <w:t>0.8~1.2</w:t>
            </w:r>
          </w:p>
        </w:tc>
        <w:tc>
          <w:tcPr>
            <w:tcW w:w="2450" w:type="dxa"/>
            <w:tcBorders>
              <w:top w:val="single" w:color="auto" w:sz="4" w:space="0"/>
              <w:bottom w:val="nil"/>
            </w:tcBorders>
          </w:tcPr>
          <w:p w14:paraId="6311EC2D">
            <w:pPr>
              <w:jc w:val="center"/>
            </w:pPr>
            <w:r>
              <w:t>0.8~1.2</w:t>
            </w:r>
          </w:p>
        </w:tc>
      </w:tr>
      <w:tr w14:paraId="1380C916">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5" w:hRule="atLeast"/>
          <w:jc w:val="center"/>
        </w:trPr>
        <w:tc>
          <w:tcPr>
            <w:tcW w:w="2967" w:type="dxa"/>
            <w:tcBorders>
              <w:top w:val="nil"/>
              <w:bottom w:val="nil"/>
            </w:tcBorders>
            <w:vAlign w:val="center"/>
          </w:tcPr>
          <w:p w14:paraId="3EC14BC2">
            <w:pPr>
              <w:jc w:val="center"/>
            </w:pPr>
            <w:r>
              <w:t xml:space="preserve">热裂解温度(蒸发室) </w:t>
            </w:r>
            <w:r>
              <w:rPr>
                <w:rFonts w:ascii="Cambria Math" w:hAnsi="Cambria Math" w:cs="Cambria Math"/>
              </w:rPr>
              <w:t>℃</w:t>
            </w:r>
          </w:p>
        </w:tc>
        <w:tc>
          <w:tcPr>
            <w:tcW w:w="2450" w:type="dxa"/>
            <w:tcBorders>
              <w:top w:val="nil"/>
              <w:bottom w:val="nil"/>
            </w:tcBorders>
            <w:vAlign w:val="center"/>
          </w:tcPr>
          <w:p w14:paraId="0D4009A3">
            <w:pPr>
              <w:jc w:val="center"/>
            </w:pPr>
            <w:r>
              <w:t>680~740</w:t>
            </w:r>
          </w:p>
        </w:tc>
        <w:tc>
          <w:tcPr>
            <w:tcW w:w="2450" w:type="dxa"/>
            <w:tcBorders>
              <w:top w:val="nil"/>
              <w:bottom w:val="nil"/>
            </w:tcBorders>
          </w:tcPr>
          <w:p w14:paraId="120538E3">
            <w:pPr>
              <w:jc w:val="center"/>
            </w:pPr>
            <w:r>
              <w:t>370~430</w:t>
            </w:r>
          </w:p>
        </w:tc>
      </w:tr>
      <w:tr w14:paraId="530AEE3C">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9" w:hRule="atLeast"/>
          <w:jc w:val="center"/>
        </w:trPr>
        <w:tc>
          <w:tcPr>
            <w:tcW w:w="2967" w:type="dxa"/>
            <w:tcBorders>
              <w:top w:val="nil"/>
            </w:tcBorders>
            <w:vAlign w:val="center"/>
          </w:tcPr>
          <w:p w14:paraId="602DA626">
            <w:pPr>
              <w:jc w:val="center"/>
            </w:pPr>
            <w:r>
              <w:t>检测池温度（分析室）</w:t>
            </w:r>
            <w:r>
              <w:rPr>
                <w:rFonts w:ascii="Cambria Math" w:hAnsi="Cambria Math" w:cs="Cambria Math"/>
              </w:rPr>
              <w:t>℃</w:t>
            </w:r>
          </w:p>
        </w:tc>
        <w:tc>
          <w:tcPr>
            <w:tcW w:w="2450" w:type="dxa"/>
            <w:tcBorders>
              <w:top w:val="nil"/>
            </w:tcBorders>
            <w:vAlign w:val="center"/>
          </w:tcPr>
          <w:p w14:paraId="355AEFAE">
            <w:pPr>
              <w:jc w:val="center"/>
            </w:pPr>
            <w:r>
              <w:t>770~830</w:t>
            </w:r>
          </w:p>
        </w:tc>
        <w:tc>
          <w:tcPr>
            <w:tcW w:w="2450" w:type="dxa"/>
            <w:tcBorders>
              <w:top w:val="nil"/>
            </w:tcBorders>
          </w:tcPr>
          <w:p w14:paraId="0B3178A4">
            <w:pPr>
              <w:jc w:val="center"/>
            </w:pPr>
            <w:r>
              <w:t>580~730</w:t>
            </w:r>
          </w:p>
        </w:tc>
      </w:tr>
    </w:tbl>
    <w:p w14:paraId="462F1E01"/>
    <w:p w14:paraId="005AF8D9">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7.3</w:t>
      </w:r>
      <w:r>
        <w:rPr>
          <w:rFonts w:hint="eastAsia"/>
        </w:rPr>
        <w:t>标准系列溶液的制备</w:t>
      </w:r>
    </w:p>
    <w:p w14:paraId="4F592899">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b/>
          <w:bCs/>
        </w:rPr>
        <w:t>7.3.1</w:t>
      </w:r>
      <w:r>
        <w:t xml:space="preserve"> </w:t>
      </w:r>
      <w:r>
        <w:rPr>
          <w:rFonts w:hint="eastAsia"/>
        </w:rPr>
        <w:t>低浓度标准系列溶液：</w:t>
      </w:r>
      <w:r>
        <w:t>将汞标准工作溶液用</w:t>
      </w:r>
      <w:bookmarkStart w:id="7" w:name="OLE_LINK2"/>
      <w:r>
        <w:t>体积分数</w:t>
      </w:r>
      <w:bookmarkEnd w:id="7"/>
      <w:r>
        <w:t xml:space="preserve">5%硝酸（体积分数0.05%的重铬酸钾）依次稀释成0、2.5、5.0、10.0、25.0、50.0 ng/mL 标准系列溶液。 </w:t>
      </w:r>
    </w:p>
    <w:p w14:paraId="5F766E5D">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b/>
          <w:bCs/>
        </w:rPr>
        <w:t>7.3.2</w:t>
      </w:r>
      <w:r>
        <w:t xml:space="preserve"> </w:t>
      </w:r>
      <w:r>
        <w:rPr>
          <w:rFonts w:hint="eastAsia"/>
        </w:rPr>
        <w:t>中浓度标准系列溶液：</w:t>
      </w:r>
      <w:r>
        <w:t>将汞标准工作溶液用体积分数5%硝酸（体积分数0.05%的重铬酸钾）依次稀释成0、50、100、150、200、250 ng/mL标准系列溶液。</w:t>
      </w:r>
    </w:p>
    <w:p w14:paraId="354C6AD9">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b/>
          <w:bCs/>
        </w:rPr>
        <w:t>7.3.3</w:t>
      </w:r>
      <w:r>
        <w:rPr>
          <w:rFonts w:hint="eastAsia"/>
        </w:rPr>
        <w:t xml:space="preserve"> 高浓度标准系列溶液：</w:t>
      </w:r>
      <w:r>
        <w:t>将汞标准工作溶液用体积分数5%硝酸（体积分数0.05%的重铬酸钾）依次稀释成0、500、1000、2000、3 000、4000 ng/mL 标准系列溶液。</w:t>
      </w:r>
      <w:r>
        <w:rPr>
          <w:rFonts w:hint="eastAsia"/>
        </w:rPr>
        <w:t xml:space="preserve"> </w:t>
      </w:r>
    </w:p>
    <w:p w14:paraId="363AA6F8">
      <w:pPr>
        <w:ind w:firstLine="0" w:firstLineChars="0"/>
        <w:rPr>
          <w:b/>
          <w:bCs/>
        </w:rPr>
      </w:pPr>
    </w:p>
    <w:p w14:paraId="3AF73192">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7.4</w:t>
      </w:r>
      <w:r>
        <w:rPr>
          <w:rFonts w:hint="eastAsia"/>
        </w:rPr>
        <w:t xml:space="preserve"> 测定</w:t>
      </w:r>
    </w:p>
    <w:p w14:paraId="0E486EA4">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rPr>
          <w:color w:val="000000"/>
          <w:sz w:val="18"/>
          <w:szCs w:val="18"/>
        </w:rPr>
      </w:pPr>
      <w:r>
        <w:rPr>
          <w:rFonts w:hint="eastAsia"/>
          <w:b/>
          <w:bCs/>
        </w:rPr>
        <w:t>7.4.1</w:t>
      </w:r>
      <w:r>
        <w:t>标准曲线的绘制</w:t>
      </w:r>
      <w:r>
        <w:rPr>
          <w:rFonts w:hint="eastAsia"/>
        </w:rPr>
        <w:t>：</w:t>
      </w:r>
      <w:r>
        <w:t>依次取低、中、高含量标准系列溶液各 100 μL 于放置于事先已铺有活性炭的样品舟中进行测定，每条曲线至少包含6个质量浓度，每个质量浓度平行测定2次。以吸光度（Y）为纵坐标、汞的质量浓度（X）为横坐标绘制低、中、高</w:t>
      </w:r>
      <w:r>
        <w:rPr>
          <w:rFonts w:hint="eastAsia"/>
        </w:rPr>
        <w:t>浓度</w:t>
      </w:r>
      <w:r>
        <w:t>标准曲线</w:t>
      </w:r>
      <w:r>
        <w:rPr>
          <w:rFonts w:hint="eastAsia"/>
        </w:rPr>
        <w:t>。</w:t>
      </w:r>
    </w:p>
    <w:p w14:paraId="70A668F6">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b/>
          <w:color w:val="000000"/>
        </w:rPr>
        <w:t>7.4</w:t>
      </w:r>
      <w:r>
        <w:rPr>
          <w:rFonts w:hint="eastAsia"/>
          <w:b/>
          <w:color w:val="000000"/>
        </w:rPr>
        <w:t>.2</w:t>
      </w:r>
      <w:r>
        <w:rPr>
          <w:rFonts w:hint="eastAsia"/>
          <w:bCs/>
        </w:rPr>
        <w:t xml:space="preserve"> </w:t>
      </w:r>
      <w:r>
        <w:rPr>
          <w:rFonts w:hint="eastAsia"/>
          <w:color w:val="000000"/>
          <w:szCs w:val="21"/>
        </w:rPr>
        <w:t>液态水基</w:t>
      </w:r>
      <w:r>
        <w:rPr>
          <w:rFonts w:hint="eastAsia"/>
        </w:rPr>
        <w:t>类化妆品样品的测定：移液器称取200 μL（精确到0.0001 g）样品放置于事先已铺有活性炭的样品舟中，按与绘制标准曲线相同的仪器条件进行样品的测定。取样量可根据样品浓度适当调整。</w:t>
      </w:r>
    </w:p>
    <w:p w14:paraId="1981F052">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7.4.3</w:t>
      </w:r>
      <w:r>
        <w:rPr>
          <w:rFonts w:hint="eastAsia"/>
        </w:rPr>
        <w:t xml:space="preserve"> </w:t>
      </w:r>
      <w:r>
        <w:rPr>
          <w:rFonts w:hint="eastAsia"/>
          <w:color w:val="000000"/>
          <w:szCs w:val="21"/>
        </w:rPr>
        <w:t>膏霜</w:t>
      </w:r>
      <w:r>
        <w:rPr>
          <w:rFonts w:hAnsi="宋体"/>
        </w:rPr>
        <w:t>类、乳液类、粉类及蜡</w:t>
      </w:r>
      <w:r>
        <w:rPr>
          <w:rFonts w:hint="eastAsia" w:hAnsi="宋体"/>
        </w:rPr>
        <w:t>基</w:t>
      </w:r>
      <w:r>
        <w:rPr>
          <w:rFonts w:hAnsi="宋体"/>
        </w:rPr>
        <w:t>类</w:t>
      </w:r>
      <w:r>
        <w:rPr>
          <w:rFonts w:hint="eastAsia"/>
        </w:rPr>
        <w:t>化妆品样品的测定：称取50 mg（精确到0.0001 g）样品放置于先已铺有活性炭的样品舟中，并记录质量（</w:t>
      </w:r>
      <w:r>
        <w:t>测</w:t>
      </w:r>
      <w:r>
        <w:rPr>
          <w:rFonts w:hint="eastAsia"/>
        </w:rPr>
        <w:t>定</w:t>
      </w:r>
      <w:r>
        <w:rPr>
          <w:rFonts w:hint="eastAsia"/>
          <w:color w:val="000000"/>
          <w:szCs w:val="21"/>
        </w:rPr>
        <w:t>膏霜</w:t>
      </w:r>
      <w:r>
        <w:t>类、乳液类和蜡基类产品</w:t>
      </w:r>
      <w:r>
        <w:rPr>
          <w:rFonts w:hint="eastAsia"/>
        </w:rPr>
        <w:t>时可采用无水碳酸钠对样品进行覆盖），按与绘制标准曲线相同的仪器条件进行样品的测定。取样量可根据样品浓度适当调整。</w:t>
      </w:r>
    </w:p>
    <w:p w14:paraId="44CF60A9">
      <w:pPr>
        <w:ind w:firstLine="0" w:firstLineChars="0"/>
        <w:rPr>
          <w:b/>
          <w:bCs/>
        </w:rPr>
      </w:pPr>
    </w:p>
    <w:p w14:paraId="35E1C65A">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7.5</w:t>
      </w:r>
      <w:r>
        <w:rPr>
          <w:rFonts w:hint="eastAsia"/>
        </w:rPr>
        <w:t xml:space="preserve"> 空白试验</w:t>
      </w:r>
    </w:p>
    <w:p w14:paraId="3329E37F">
      <w:pPr>
        <w:keepNext w:val="0"/>
        <w:keepLines w:val="0"/>
        <w:pageBreakBefore w:val="0"/>
        <w:widowControl w:val="0"/>
        <w:kinsoku/>
        <w:wordWrap/>
        <w:overflowPunct/>
        <w:topLinePunct w:val="0"/>
        <w:autoSpaceDE/>
        <w:autoSpaceDN/>
        <w:bidi w:val="0"/>
        <w:adjustRightInd/>
        <w:snapToGrid/>
        <w:spacing w:line="320" w:lineRule="atLeast"/>
        <w:textAlignment w:val="auto"/>
      </w:pPr>
      <w:bookmarkStart w:id="8" w:name="_Toc20844370"/>
      <w:r>
        <w:rPr>
          <w:rFonts w:hint="eastAsia"/>
        </w:rPr>
        <w:t>取与样品相同量的</w:t>
      </w:r>
      <w:r>
        <w:t>体积分数</w:t>
      </w:r>
      <w:r>
        <w:rPr>
          <w:rFonts w:hint="eastAsia"/>
        </w:rPr>
        <w:t>5%硝酸（</w:t>
      </w:r>
      <w:r>
        <w:t>体积分数</w:t>
      </w:r>
      <w:r>
        <w:rPr>
          <w:rFonts w:hint="eastAsia"/>
        </w:rPr>
        <w:t>0.05%重铬酸钾）放置于事先已铺有活性炭的样品舟中，按照与样品测定相同的测定步骤进行空白试验。</w:t>
      </w:r>
    </w:p>
    <w:p w14:paraId="5BC338F6">
      <w:pPr>
        <w:pStyle w:val="174"/>
        <w:ind w:left="0" w:firstLine="0" w:firstLineChars="0"/>
        <w:rPr>
          <w:b/>
          <w:bCs/>
        </w:rPr>
      </w:pPr>
    </w:p>
    <w:p w14:paraId="2FF63920">
      <w:pPr>
        <w:pStyle w:val="174"/>
        <w:keepNext w:val="0"/>
        <w:keepLines w:val="0"/>
        <w:pageBreakBefore w:val="0"/>
        <w:widowControl w:val="0"/>
        <w:kinsoku/>
        <w:wordWrap/>
        <w:overflowPunct/>
        <w:topLinePunct w:val="0"/>
        <w:autoSpaceDE/>
        <w:autoSpaceDN/>
        <w:bidi w:val="0"/>
        <w:adjustRightInd/>
        <w:snapToGrid/>
        <w:spacing w:line="320" w:lineRule="atLeast"/>
        <w:ind w:left="0" w:firstLine="0" w:firstLineChars="0"/>
        <w:textAlignment w:val="auto"/>
        <w:rPr>
          <w:rFonts w:hint="eastAsia" w:ascii="宋体" w:hAnsi="宋体"/>
        </w:rPr>
      </w:pPr>
      <w:r>
        <w:rPr>
          <w:b/>
          <w:bCs/>
        </w:rPr>
        <w:t>7.6</w:t>
      </w:r>
      <w:r>
        <w:rPr>
          <w:rFonts w:ascii="宋体" w:hAnsi="宋体"/>
          <w:b/>
          <w:bCs/>
        </w:rPr>
        <w:t xml:space="preserve"> </w:t>
      </w:r>
      <w:r>
        <w:rPr>
          <w:rFonts w:hint="eastAsia" w:ascii="宋体" w:hAnsi="宋体"/>
        </w:rPr>
        <w:t>结</w:t>
      </w:r>
      <w:r>
        <w:rPr>
          <w:rFonts w:hint="eastAsia"/>
        </w:rPr>
        <w:t>果计算</w:t>
      </w:r>
      <w:bookmarkEnd w:id="8"/>
      <w:r>
        <w:rPr>
          <w:rFonts w:hint="eastAsia"/>
        </w:rPr>
        <w:t>与表示</w:t>
      </w:r>
    </w:p>
    <w:p w14:paraId="5E2E66B6">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rPr>
      </w:pPr>
      <w:r>
        <w:rPr>
          <w:rFonts w:hint="eastAsia"/>
        </w:rPr>
        <w:t>测得样品的峰面积，由软件依据所选择的标准曲线自动计算出样品中的汞含量。</w:t>
      </w:r>
    </w:p>
    <w:p w14:paraId="694AEA30">
      <w:pPr>
        <w:keepNext w:val="0"/>
        <w:keepLines w:val="0"/>
        <w:pageBreakBefore w:val="0"/>
        <w:widowControl w:val="0"/>
        <w:kinsoku/>
        <w:wordWrap/>
        <w:overflowPunct/>
        <w:topLinePunct w:val="0"/>
        <w:autoSpaceDE/>
        <w:autoSpaceDN/>
        <w:bidi w:val="0"/>
        <w:adjustRightInd/>
        <w:snapToGrid/>
        <w:spacing w:line="320" w:lineRule="atLeast"/>
        <w:textAlignment w:val="auto"/>
      </w:pPr>
      <w:r>
        <w:t>(一)</w:t>
      </w:r>
      <w:r>
        <w:rPr>
          <w:rFonts w:hint="eastAsia"/>
          <w:color w:val="000000"/>
          <w:szCs w:val="21"/>
        </w:rPr>
        <w:t xml:space="preserve"> 膏霜</w:t>
      </w:r>
      <w:r>
        <w:t>类、乳液类、粉类及蜡</w:t>
      </w:r>
      <w:r>
        <w:rPr>
          <w:rFonts w:hint="eastAsia"/>
        </w:rPr>
        <w:t>基</w:t>
      </w:r>
      <w:r>
        <w:t>类化妆品</w:t>
      </w:r>
    </w:p>
    <w:p w14:paraId="765E5D8A">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rPr>
      </w:pPr>
      <w:r>
        <w:t>样品中总汞的含量</w:t>
      </w:r>
      <w:r>
        <w:rPr>
          <w:i/>
          <w:iCs/>
        </w:rPr>
        <w:t>ω</w:t>
      </w:r>
      <w:r>
        <w:rPr>
          <w:rFonts w:hint="eastAsia"/>
          <w:i/>
          <w:iCs/>
          <w:vertAlign w:val="subscript"/>
        </w:rPr>
        <w:t>1</w:t>
      </w:r>
      <w:r>
        <w:t>（Hg，µg/g）按公式（1）进行计算：</w:t>
      </w:r>
    </w:p>
    <w:p w14:paraId="680AC17F">
      <w:r>
        <w:t xml:space="preserve"> </w:t>
      </w:r>
      <w:r>
        <w:rPr>
          <w:rFonts w:hint="eastAsia"/>
        </w:rPr>
        <w:t xml:space="preserve">  </w:t>
      </w:r>
      <w:r>
        <w:drawing>
          <wp:inline distT="0" distB="0" distL="0" distR="0">
            <wp:extent cx="952500" cy="419100"/>
            <wp:effectExtent l="0" t="0" r="0" b="0"/>
            <wp:docPr id="180536411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64118" name="图片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52500" cy="419100"/>
                    </a:xfrm>
                    <a:prstGeom prst="rect">
                      <a:avLst/>
                    </a:prstGeom>
                    <a:noFill/>
                    <a:ln>
                      <a:noFill/>
                    </a:ln>
                  </pic:spPr>
                </pic:pic>
              </a:graphicData>
            </a:graphic>
          </wp:inline>
        </w:drawing>
      </w:r>
      <w:r>
        <w:rPr>
          <w:rFonts w:hint="eastAsia"/>
        </w:rPr>
        <w:t>......................</w:t>
      </w:r>
      <w:r>
        <w:rPr>
          <w:rFonts w:hAnsi="宋体"/>
        </w:rPr>
        <w:t>（</w:t>
      </w:r>
      <w:r>
        <w:rPr>
          <w:rFonts w:hint="eastAsia"/>
        </w:rPr>
        <w:t>1</w:t>
      </w:r>
      <w:r>
        <w:rPr>
          <w:rFonts w:hAnsi="宋体"/>
        </w:rPr>
        <w:t>）</w:t>
      </w:r>
    </w:p>
    <w:p w14:paraId="216D7863">
      <w:r>
        <w:t>式中：</w:t>
      </w:r>
    </w:p>
    <w:p w14:paraId="641D6916">
      <w:r>
        <w:rPr>
          <w:i/>
          <w:iCs/>
        </w:rPr>
        <w:t>ω</w:t>
      </w:r>
      <w:r>
        <w:rPr>
          <w:rFonts w:hint="eastAsia"/>
          <w:i/>
          <w:iCs/>
          <w:vertAlign w:val="subscript"/>
        </w:rPr>
        <w:t>1</w:t>
      </w:r>
      <w:r>
        <w:t>——样品中总汞的浓度，µg/g；</w:t>
      </w:r>
    </w:p>
    <w:p w14:paraId="35E1F889">
      <w:r>
        <w:rPr>
          <w:i/>
          <w:iCs/>
        </w:rPr>
        <w:t>m</w:t>
      </w:r>
      <w:r>
        <w:rPr>
          <w:i/>
          <w:iCs/>
          <w:vertAlign w:val="subscript"/>
        </w:rPr>
        <w:t>1</w:t>
      </w:r>
      <w:r>
        <w:t>——由标准曲线所得样品中总汞含量，ng；</w:t>
      </w:r>
    </w:p>
    <w:p w14:paraId="1224900C">
      <w:r>
        <w:rPr>
          <w:rFonts w:hint="eastAsia"/>
          <w:i/>
          <w:iCs/>
        </w:rPr>
        <w:t>m</w:t>
      </w:r>
      <w:r>
        <w:t>——称取样品的质量，g；</w:t>
      </w:r>
    </w:p>
    <w:p w14:paraId="04C3EB24">
      <w:pPr>
        <w:keepNext w:val="0"/>
        <w:keepLines w:val="0"/>
        <w:pageBreakBefore w:val="0"/>
        <w:widowControl w:val="0"/>
        <w:kinsoku/>
        <w:wordWrap/>
        <w:overflowPunct/>
        <w:topLinePunct w:val="0"/>
        <w:autoSpaceDE/>
        <w:autoSpaceDN/>
        <w:bidi w:val="0"/>
        <w:adjustRightInd/>
        <w:snapToGrid/>
        <w:spacing w:line="320" w:lineRule="atLeast"/>
        <w:textAlignment w:val="auto"/>
      </w:pPr>
      <w:r>
        <w:t>(二) 液态水基类化妆品样品中总汞的含量</w:t>
      </w:r>
      <w:r>
        <w:rPr>
          <w:i/>
          <w:iCs/>
        </w:rPr>
        <w:t>ω</w:t>
      </w:r>
      <w:r>
        <w:rPr>
          <w:rFonts w:hint="eastAsia"/>
          <w:i/>
          <w:iCs/>
          <w:vertAlign w:val="subscript"/>
        </w:rPr>
        <w:t>2</w:t>
      </w:r>
      <w:r>
        <w:t>（Hg，µg/L）按公式（2）进行计算：</w:t>
      </w:r>
    </w:p>
    <w:p w14:paraId="6E470E95">
      <w:r>
        <w:drawing>
          <wp:inline distT="0" distB="0" distL="0" distR="0">
            <wp:extent cx="952500" cy="424180"/>
            <wp:effectExtent l="0" t="0" r="0" b="0"/>
            <wp:docPr id="835404918" name="图片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04918" name="图片 5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0" cy="424180"/>
                    </a:xfrm>
                    <a:prstGeom prst="rect">
                      <a:avLst/>
                    </a:prstGeom>
                    <a:noFill/>
                    <a:ln>
                      <a:noFill/>
                    </a:ln>
                  </pic:spPr>
                </pic:pic>
              </a:graphicData>
            </a:graphic>
          </wp:inline>
        </w:drawing>
      </w:r>
      <w:r>
        <w:rPr>
          <w:rFonts w:hint="eastAsia"/>
        </w:rPr>
        <w:t>....................</w:t>
      </w:r>
      <w:r>
        <w:rPr>
          <w:rFonts w:hAnsi="宋体"/>
        </w:rPr>
        <w:t>（</w:t>
      </w:r>
      <w:r>
        <w:t>2</w:t>
      </w:r>
      <w:r>
        <w:rPr>
          <w:rFonts w:hAnsi="宋体"/>
        </w:rPr>
        <w:t>）</w:t>
      </w:r>
      <w:r>
        <w:t xml:space="preserve"> </w:t>
      </w:r>
    </w:p>
    <w:p w14:paraId="3978E4CD">
      <w:pPr>
        <w:keepNext w:val="0"/>
        <w:keepLines w:val="0"/>
        <w:pageBreakBefore w:val="0"/>
        <w:widowControl w:val="0"/>
        <w:kinsoku/>
        <w:wordWrap/>
        <w:overflowPunct/>
        <w:topLinePunct w:val="0"/>
        <w:autoSpaceDE/>
        <w:autoSpaceDN/>
        <w:bidi w:val="0"/>
        <w:adjustRightInd/>
        <w:snapToGrid/>
        <w:spacing w:line="320" w:lineRule="atLeast"/>
        <w:textAlignment w:val="auto"/>
      </w:pPr>
      <w:r>
        <w:t>式中：</w:t>
      </w:r>
    </w:p>
    <w:p w14:paraId="118D6566">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rPr>
      </w:pPr>
      <w:r>
        <w:rPr>
          <w:i/>
          <w:iCs/>
        </w:rPr>
        <w:t>ω</w:t>
      </w:r>
      <w:r>
        <w:rPr>
          <w:rFonts w:hint="eastAsia"/>
          <w:i/>
          <w:iCs/>
          <w:vertAlign w:val="subscript"/>
        </w:rPr>
        <w:t>2</w:t>
      </w:r>
      <w:r>
        <w:t>——样品中总汞的浓度，µg/L；</w:t>
      </w:r>
    </w:p>
    <w:p w14:paraId="113A4941">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hint="eastAsia"/>
          <w:i/>
          <w:iCs/>
        </w:rPr>
        <w:t>m</w:t>
      </w:r>
      <w:r>
        <w:rPr>
          <w:rFonts w:hint="eastAsia"/>
          <w:i/>
          <w:iCs/>
          <w:vertAlign w:val="subscript"/>
        </w:rPr>
        <w:t>2</w:t>
      </w:r>
      <w:r>
        <w:t>——由标准曲线所得样品中的总汞含量，ng；</w:t>
      </w:r>
    </w:p>
    <w:p w14:paraId="05C1EB6D">
      <w:pPr>
        <w:keepNext w:val="0"/>
        <w:keepLines w:val="0"/>
        <w:pageBreakBefore w:val="0"/>
        <w:widowControl w:val="0"/>
        <w:kinsoku/>
        <w:wordWrap/>
        <w:overflowPunct/>
        <w:topLinePunct w:val="0"/>
        <w:autoSpaceDE/>
        <w:autoSpaceDN/>
        <w:bidi w:val="0"/>
        <w:adjustRightInd/>
        <w:snapToGrid/>
        <w:spacing w:line="320" w:lineRule="atLeast"/>
        <w:textAlignment w:val="auto"/>
      </w:pPr>
      <w:r>
        <w:drawing>
          <wp:inline distT="0" distB="0" distL="0" distR="0">
            <wp:extent cx="119380" cy="133350"/>
            <wp:effectExtent l="0" t="0" r="0" b="0"/>
            <wp:docPr id="187482969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29693"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9380" cy="133350"/>
                    </a:xfrm>
                    <a:prstGeom prst="rect">
                      <a:avLst/>
                    </a:prstGeom>
                    <a:noFill/>
                    <a:ln>
                      <a:noFill/>
                    </a:ln>
                  </pic:spPr>
                </pic:pic>
              </a:graphicData>
            </a:graphic>
          </wp:inline>
        </w:drawing>
      </w:r>
      <w:r>
        <w:t>——样品的体积，µL；</w:t>
      </w:r>
    </w:p>
    <w:p w14:paraId="75CF498E">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hint="eastAsia"/>
        </w:rPr>
        <w:t>结果表示：</w:t>
      </w:r>
    </w:p>
    <w:p w14:paraId="66124E06">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hint="eastAsia"/>
        </w:rPr>
        <w:t>当测定结果小于10.0 µg/kg时，保留小数点后一位；当测定结果大于等于10.0 µg/kg时，保留三位有效数字。</w:t>
      </w:r>
      <w:bookmarkEnd w:id="6"/>
    </w:p>
    <w:p w14:paraId="5A60B1C0">
      <w:pPr>
        <w:pStyle w:val="109"/>
        <w:rPr>
          <w:rFonts w:hint="eastAsia"/>
        </w:rPr>
      </w:pPr>
      <w:r>
        <w:rPr>
          <w:rFonts w:hint="eastAsia"/>
        </w:rPr>
        <w:t>精密度</w:t>
      </w:r>
    </w:p>
    <w:p w14:paraId="3A3336E1">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8.1</w:t>
      </w:r>
      <w:r>
        <w:rPr>
          <w:rFonts w:hint="eastAsia"/>
        </w:rPr>
        <w:t>重复性</w:t>
      </w:r>
    </w:p>
    <w:p w14:paraId="1706B97B">
      <w:pPr>
        <w:keepNext w:val="0"/>
        <w:keepLines w:val="0"/>
        <w:pageBreakBefore w:val="0"/>
        <w:widowControl w:val="0"/>
        <w:kinsoku/>
        <w:wordWrap/>
        <w:overflowPunct/>
        <w:topLinePunct w:val="0"/>
        <w:autoSpaceDE/>
        <w:autoSpaceDN/>
        <w:bidi w:val="0"/>
        <w:adjustRightInd/>
        <w:snapToGrid/>
        <w:spacing w:line="320" w:lineRule="atLeast"/>
        <w:textAlignment w:val="auto"/>
      </w:pPr>
      <w:r>
        <w:rPr>
          <w:rFonts w:hint="eastAsia"/>
        </w:rPr>
        <w:t>在同一实验室，由同一操作者使用相同设备，按相同的测试方法，并在短时间内对同一被测对象相互独立进行测试获得的两次独立测试结果的绝对差值不大于这两个测定值的算术平均值的10%。</w:t>
      </w:r>
    </w:p>
    <w:p w14:paraId="12EABF19">
      <w:pPr>
        <w:keepNext w:val="0"/>
        <w:keepLines w:val="0"/>
        <w:pageBreakBefore w:val="0"/>
        <w:widowControl w:val="0"/>
        <w:kinsoku/>
        <w:wordWrap/>
        <w:overflowPunct/>
        <w:topLinePunct w:val="0"/>
        <w:autoSpaceDE/>
        <w:autoSpaceDN/>
        <w:bidi w:val="0"/>
        <w:adjustRightInd/>
        <w:snapToGrid/>
        <w:spacing w:line="320" w:lineRule="atLeast"/>
        <w:ind w:firstLine="0" w:firstLineChars="0"/>
        <w:textAlignment w:val="auto"/>
      </w:pPr>
      <w:r>
        <w:rPr>
          <w:rFonts w:hint="eastAsia"/>
          <w:b/>
          <w:bCs/>
        </w:rPr>
        <w:t>8.2</w:t>
      </w:r>
      <w:r>
        <w:rPr>
          <w:rFonts w:hint="eastAsia"/>
        </w:rPr>
        <w:t>再现性</w:t>
      </w:r>
    </w:p>
    <w:p w14:paraId="1AB686A3">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rPr>
      </w:pPr>
      <w:r>
        <w:rPr>
          <w:rFonts w:hint="eastAsia"/>
        </w:rPr>
        <w:t>在不同实验室，由不同操作者使用不同设备，按相同的测试方法，对同一被测对象相互独立进行测试获得的两次独立测试结果的绝对差值不大于这两个测定值的算术平均值的20%。</w:t>
      </w:r>
    </w:p>
    <w:p w14:paraId="08FD33F3">
      <w:pPr>
        <w:pStyle w:val="32"/>
        <w:ind w:firstLine="3990" w:firstLineChars="1900"/>
        <w:rPr>
          <w:rFonts w:ascii="黑体" w:hAnsi="黑体" w:eastAsia="黑体" w:cs="黑体"/>
        </w:rPr>
      </w:pPr>
    </w:p>
    <w:p w14:paraId="3A9F5CA5">
      <w:pPr>
        <w:pStyle w:val="32"/>
        <w:ind w:firstLine="3990" w:firstLineChars="1900"/>
        <w:rPr>
          <w:rFonts w:ascii="黑体" w:hAnsi="黑体" w:eastAsia="黑体" w:cs="黑体"/>
        </w:rPr>
      </w:pPr>
    </w:p>
    <w:p w14:paraId="07B870EE">
      <w:pPr>
        <w:pStyle w:val="32"/>
        <w:ind w:firstLine="3990" w:firstLineChars="1900"/>
        <w:rPr>
          <w:rFonts w:ascii="黑体" w:hAnsi="黑体" w:eastAsia="黑体" w:cs="黑体"/>
        </w:rPr>
      </w:pPr>
    </w:p>
    <w:p w14:paraId="23CEA9C5">
      <w:pPr>
        <w:pStyle w:val="32"/>
        <w:ind w:firstLine="3990" w:firstLineChars="1900"/>
        <w:rPr>
          <w:rFonts w:ascii="黑体" w:hAnsi="黑体" w:eastAsia="黑体" w:cs="黑体"/>
        </w:rPr>
      </w:pPr>
    </w:p>
    <w:p w14:paraId="546DD1F5">
      <w:pPr>
        <w:pStyle w:val="32"/>
        <w:ind w:firstLine="3990" w:firstLineChars="1900"/>
        <w:rPr>
          <w:rFonts w:ascii="黑体" w:hAnsi="黑体" w:eastAsia="黑体" w:cs="黑体"/>
        </w:rPr>
      </w:pPr>
    </w:p>
    <w:p w14:paraId="18CA3153">
      <w:pPr>
        <w:pStyle w:val="32"/>
        <w:ind w:firstLine="3990" w:firstLineChars="1900"/>
        <w:rPr>
          <w:rFonts w:ascii="黑体" w:hAnsi="黑体" w:eastAsia="黑体" w:cs="黑体"/>
        </w:rPr>
      </w:pPr>
    </w:p>
    <w:p w14:paraId="2897DC03">
      <w:pPr>
        <w:pStyle w:val="32"/>
        <w:ind w:firstLine="3990" w:firstLineChars="1900"/>
        <w:rPr>
          <w:rFonts w:ascii="黑体" w:hAnsi="黑体" w:eastAsia="黑体" w:cs="黑体"/>
        </w:rPr>
      </w:pPr>
    </w:p>
    <w:p w14:paraId="22AD63C4">
      <w:pPr>
        <w:pStyle w:val="32"/>
        <w:ind w:firstLine="3990" w:firstLineChars="1900"/>
        <w:rPr>
          <w:rFonts w:ascii="黑体" w:hAnsi="黑体" w:eastAsia="黑体" w:cs="黑体"/>
        </w:rPr>
      </w:pPr>
    </w:p>
    <w:p w14:paraId="47DB5B02">
      <w:pPr>
        <w:pStyle w:val="32"/>
        <w:ind w:firstLine="3990" w:firstLineChars="1900"/>
        <w:rPr>
          <w:rFonts w:ascii="黑体" w:hAnsi="黑体" w:eastAsia="黑体" w:cs="黑体"/>
        </w:rPr>
      </w:pPr>
    </w:p>
    <w:p w14:paraId="1AF193D7">
      <w:pPr>
        <w:pStyle w:val="32"/>
        <w:ind w:firstLine="3990" w:firstLineChars="1900"/>
        <w:rPr>
          <w:rFonts w:ascii="黑体" w:hAnsi="黑体" w:eastAsia="黑体" w:cs="黑体"/>
        </w:rPr>
      </w:pPr>
    </w:p>
    <w:p w14:paraId="1734CCF5">
      <w:pPr>
        <w:pStyle w:val="32"/>
        <w:ind w:firstLine="3990" w:firstLineChars="1900"/>
        <w:rPr>
          <w:rFonts w:ascii="黑体" w:hAnsi="黑体" w:eastAsia="黑体" w:cs="黑体"/>
        </w:rPr>
      </w:pPr>
    </w:p>
    <w:p w14:paraId="0FDFB2C6">
      <w:pPr>
        <w:pStyle w:val="32"/>
        <w:ind w:firstLine="3990" w:firstLineChars="1900"/>
        <w:rPr>
          <w:rFonts w:ascii="黑体" w:hAnsi="黑体" w:eastAsia="黑体" w:cs="黑体"/>
        </w:rPr>
      </w:pPr>
    </w:p>
    <w:p w14:paraId="42E9672C">
      <w:pPr>
        <w:pStyle w:val="32"/>
        <w:ind w:firstLine="3990" w:firstLineChars="1900"/>
      </w:pPr>
      <w:r>
        <w:rPr>
          <w:rFonts w:hint="eastAsia" w:ascii="黑体" w:hAnsi="黑体" w:eastAsia="黑体" w:cs="黑体"/>
        </w:rPr>
        <w:t>参考文献</w:t>
      </w:r>
    </w:p>
    <w:p w14:paraId="422AEB16">
      <w:pPr>
        <w:pStyle w:val="32"/>
        <w:keepNext w:val="0"/>
        <w:keepLines w:val="0"/>
        <w:pageBreakBefore w:val="0"/>
        <w:kinsoku/>
        <w:wordWrap/>
        <w:overflowPunct/>
        <w:topLinePunct w:val="0"/>
        <w:bidi w:val="0"/>
        <w:adjustRightInd/>
        <w:snapToGrid/>
        <w:spacing w:after="0" w:line="320" w:lineRule="atLeast"/>
        <w:ind w:firstLine="0" w:firstLineChars="0"/>
        <w:textAlignment w:val="auto"/>
        <w:rPr>
          <w:rFonts w:ascii="Times New Roman" w:hAnsi="Times New Roman" w:eastAsiaTheme="minorEastAsia"/>
          <w:szCs w:val="21"/>
        </w:rPr>
      </w:pPr>
      <w:r>
        <w:rPr>
          <w:rFonts w:ascii="Times New Roman" w:hAnsi="Times New Roman" w:eastAsiaTheme="minorEastAsia"/>
        </w:rPr>
        <w:t>[1]</w:t>
      </w:r>
      <w:r>
        <w:rPr>
          <w:rFonts w:ascii="Times New Roman" w:hAnsi="Times New Roman" w:eastAsiaTheme="minorEastAsia"/>
          <w:szCs w:val="21"/>
        </w:rPr>
        <w:t>《化妆品安全技术规范》（2015年版）</w:t>
      </w:r>
    </w:p>
    <w:p w14:paraId="15B168A4">
      <w:pPr>
        <w:keepNext w:val="0"/>
        <w:keepLines w:val="0"/>
        <w:pageBreakBefore w:val="0"/>
        <w:kinsoku/>
        <w:wordWrap/>
        <w:overflowPunct/>
        <w:topLinePunct w:val="0"/>
        <w:bidi w:val="0"/>
        <w:adjustRightInd/>
        <w:snapToGrid/>
        <w:spacing w:line="320" w:lineRule="atLeast"/>
        <w:ind w:firstLine="0" w:firstLineChars="0"/>
        <w:textAlignment w:val="auto"/>
      </w:pPr>
      <w:r>
        <w:rPr>
          <w:kern w:val="0"/>
          <w:szCs w:val="20"/>
        </w:rPr>
        <w:t xml:space="preserve">[2] DB44/T 1820-2016 </w:t>
      </w:r>
      <w:r>
        <w:t>固体物中总汞含量的测定 电热</w:t>
      </w:r>
      <w:r>
        <w:rPr>
          <w:rFonts w:hint="eastAsia"/>
        </w:rPr>
        <w:t>-</w:t>
      </w:r>
      <w:r>
        <w:t>塞曼效应原子吸收光谱法</w:t>
      </w:r>
    </w:p>
    <w:p w14:paraId="3CDB7E4E">
      <w:pPr>
        <w:pStyle w:val="32"/>
        <w:keepNext w:val="0"/>
        <w:keepLines w:val="0"/>
        <w:pageBreakBefore w:val="0"/>
        <w:kinsoku/>
        <w:wordWrap/>
        <w:overflowPunct/>
        <w:topLinePunct w:val="0"/>
        <w:bidi w:val="0"/>
        <w:adjustRightInd/>
        <w:snapToGrid/>
        <w:spacing w:after="0" w:line="320" w:lineRule="atLeast"/>
        <w:ind w:firstLine="0" w:firstLineChars="0"/>
        <w:textAlignment w:val="auto"/>
        <w:rPr>
          <w:rFonts w:ascii="Times New Roman" w:hAnsi="Times New Roman" w:eastAsiaTheme="minorEastAsia"/>
        </w:rPr>
      </w:pPr>
      <w:r>
        <w:rPr>
          <w:rFonts w:ascii="Times New Roman" w:hAnsi="Times New Roman" w:eastAsiaTheme="minorEastAsia"/>
        </w:rPr>
        <w:t xml:space="preserve">[3] GB 5009.17 </w:t>
      </w:r>
      <w:r>
        <w:rPr>
          <w:rFonts w:hint="eastAsia" w:ascii="Times New Roman" w:hAnsi="Times New Roman" w:eastAsiaTheme="minorEastAsia"/>
        </w:rPr>
        <w:t xml:space="preserve"> </w:t>
      </w:r>
      <w:r>
        <w:rPr>
          <w:rFonts w:ascii="Times New Roman" w:hAnsi="Times New Roman" w:eastAsiaTheme="minorEastAsia"/>
          <w:kern w:val="2"/>
          <w:szCs w:val="24"/>
        </w:rPr>
        <w:t>食品安全</w:t>
      </w:r>
      <w:r>
        <w:rPr>
          <w:rFonts w:ascii="Times New Roman" w:hAnsi="Times New Roman" w:eastAsiaTheme="minorEastAsia"/>
        </w:rPr>
        <w:t>国家标准 食品中总汞及有机汞的测定</w:t>
      </w:r>
    </w:p>
    <w:p w14:paraId="172096CA">
      <w:pPr>
        <w:keepNext w:val="0"/>
        <w:keepLines w:val="0"/>
        <w:pageBreakBefore w:val="0"/>
        <w:kinsoku/>
        <w:wordWrap/>
        <w:overflowPunct/>
        <w:topLinePunct w:val="0"/>
        <w:bidi w:val="0"/>
        <w:adjustRightInd/>
        <w:snapToGrid/>
        <w:spacing w:line="320" w:lineRule="atLeast"/>
        <w:ind w:firstLine="0" w:firstLineChars="0"/>
        <w:textAlignment w:val="auto"/>
        <w:rPr>
          <w:kern w:val="0"/>
          <w:szCs w:val="20"/>
        </w:rPr>
      </w:pPr>
      <w:r>
        <w:rPr>
          <w:kern w:val="0"/>
          <w:szCs w:val="20"/>
        </w:rPr>
        <w:t>[</w:t>
      </w:r>
      <w:r>
        <w:t>4</w:t>
      </w:r>
      <w:r>
        <w:rPr>
          <w:kern w:val="0"/>
          <w:szCs w:val="20"/>
        </w:rPr>
        <w:t>] GB 5009.12  食品安全国家标准 食品中铅的测定</w:t>
      </w:r>
    </w:p>
    <w:p w14:paraId="31E41FFC">
      <w:pPr>
        <w:keepNext w:val="0"/>
        <w:keepLines w:val="0"/>
        <w:pageBreakBefore w:val="0"/>
        <w:kinsoku/>
        <w:wordWrap/>
        <w:overflowPunct/>
        <w:topLinePunct w:val="0"/>
        <w:bidi w:val="0"/>
        <w:adjustRightInd/>
        <w:snapToGrid/>
        <w:spacing w:line="320" w:lineRule="atLeast"/>
        <w:ind w:firstLine="0" w:firstLineChars="0"/>
        <w:textAlignment w:val="auto"/>
        <w:rPr>
          <w:kern w:val="0"/>
          <w:szCs w:val="20"/>
        </w:rPr>
      </w:pPr>
      <w:r>
        <w:rPr>
          <w:kern w:val="0"/>
          <w:szCs w:val="20"/>
        </w:rPr>
        <w:t>[5] GB 5009.15  食品安全国家标准 食品中镉的测定</w:t>
      </w:r>
    </w:p>
    <w:p w14:paraId="1889D252">
      <w:pPr>
        <w:keepNext w:val="0"/>
        <w:keepLines w:val="0"/>
        <w:pageBreakBefore w:val="0"/>
        <w:kinsoku/>
        <w:wordWrap/>
        <w:overflowPunct/>
        <w:topLinePunct w:val="0"/>
        <w:bidi w:val="0"/>
        <w:adjustRightInd/>
        <w:snapToGrid/>
        <w:spacing w:line="320" w:lineRule="atLeast"/>
        <w:ind w:firstLine="0" w:firstLineChars="0"/>
        <w:textAlignment w:val="auto"/>
        <w:rPr>
          <w:kern w:val="0"/>
          <w:szCs w:val="20"/>
        </w:rPr>
      </w:pPr>
      <w:r>
        <w:rPr>
          <w:kern w:val="0"/>
          <w:szCs w:val="20"/>
        </w:rPr>
        <w:t>[6] GB 5009.11  食品安全国家标准 食品中总砷及无机砷的测定</w:t>
      </w:r>
    </w:p>
    <w:p w14:paraId="1179E77F">
      <w:pPr>
        <w:keepNext w:val="0"/>
        <w:keepLines w:val="0"/>
        <w:pageBreakBefore w:val="0"/>
        <w:kinsoku/>
        <w:wordWrap/>
        <w:overflowPunct/>
        <w:topLinePunct w:val="0"/>
        <w:bidi w:val="0"/>
        <w:adjustRightInd/>
        <w:snapToGrid/>
        <w:spacing w:line="320" w:lineRule="atLeast"/>
        <w:ind w:firstLine="0" w:firstLineChars="0"/>
        <w:textAlignment w:val="auto"/>
        <w:rPr>
          <w:kern w:val="0"/>
          <w:szCs w:val="20"/>
        </w:rPr>
      </w:pPr>
      <w:r>
        <w:rPr>
          <w:kern w:val="0"/>
          <w:szCs w:val="20"/>
        </w:rPr>
        <w:t>[7] GB 5009.17  食品安全国家标准 食品中总汞及有机汞的测定</w:t>
      </w:r>
    </w:p>
    <w:p w14:paraId="7AA5882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right="0" w:rightChars="0"/>
        <w:rPr>
          <w:rFonts w:ascii="Times New Roman" w:hAnsi="Times New Roman" w:cs="Times New Roman" w:eastAsiaTheme="minorEastAsia"/>
          <w:b w:val="0"/>
          <w:caps w:val="0"/>
          <w:color w:val="auto"/>
          <w:spacing w:val="0"/>
          <w:kern w:val="0"/>
          <w:sz w:val="21"/>
          <w:szCs w:val="20"/>
          <w:lang w:val="en-US" w:eastAsia="zh-CN" w:bidi="ar-SA"/>
        </w:rPr>
      </w:pPr>
      <w:r>
        <w:rPr>
          <w:rFonts w:ascii="Times New Roman" w:hAnsi="Times New Roman" w:cs="Times New Roman" w:eastAsiaTheme="minorEastAsia"/>
          <w:b w:val="0"/>
          <w:caps w:val="0"/>
          <w:color w:val="auto"/>
          <w:spacing w:val="0"/>
          <w:kern w:val="0"/>
          <w:sz w:val="21"/>
          <w:szCs w:val="20"/>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1906270</wp:posOffset>
                </wp:positionH>
                <wp:positionV relativeFrom="paragraph">
                  <wp:posOffset>972185</wp:posOffset>
                </wp:positionV>
                <wp:extent cx="1473200" cy="6985"/>
                <wp:effectExtent l="13335" t="11430" r="8890" b="10160"/>
                <wp:wrapNone/>
                <wp:docPr id="439687458" name="直线 30"/>
                <wp:cNvGraphicFramePr/>
                <a:graphic xmlns:a="http://schemas.openxmlformats.org/drawingml/2006/main">
                  <a:graphicData uri="http://schemas.microsoft.com/office/word/2010/wordprocessingShape">
                    <wps:wsp>
                      <wps:cNvCnPr>
                        <a:cxnSpLocks noChangeShapeType="1"/>
                      </wps:cNvCnPr>
                      <wps:spPr bwMode="auto">
                        <a:xfrm>
                          <a:off x="0" y="0"/>
                          <a:ext cx="1473200" cy="6985"/>
                        </a:xfrm>
                        <a:prstGeom prst="line">
                          <a:avLst/>
                        </a:prstGeom>
                        <a:noFill/>
                        <a:ln w="12700">
                          <a:solidFill>
                            <a:srgbClr val="000000"/>
                          </a:solidFill>
                          <a:round/>
                        </a:ln>
                      </wps:spPr>
                      <wps:bodyPr/>
                    </wps:wsp>
                  </a:graphicData>
                </a:graphic>
              </wp:anchor>
            </w:drawing>
          </mc:Choice>
          <mc:Fallback>
            <w:pict>
              <v:line id="直线 30" o:spid="_x0000_s1026" o:spt="20" style="position:absolute;left:0pt;margin-left:150.1pt;margin-top:76.55pt;height:0.55pt;width:116pt;z-index:251663360;mso-width-relative:page;mso-height-relative:page;" filled="f" stroked="t" coordsize="21600,21600" o:gfxdata="UEsDBAoAAAAAAIdO4kAAAAAAAAAAAAAAAAAEAAAAZHJzL1BLAwQUAAAACACHTuJA4jf3RdkAAAAL&#10;AQAADwAAAGRycy9kb3ducmV2LnhtbE2PzU7DMBCE70i8g7VI3Kgdh0KUxukBVFUgLm2RenVjEwfi&#10;dRq7P7w921M57syn2ZlqfvY9O9oxdgEVZBMBzGITTIetgs/N4qEAFpNGo/uAVsGvjTCvb28qXZpw&#10;wpU9rlPLKARjqRW4lIaS89g463WchMEieV9h9DrRObbcjPpE4b7nUogn7nWH9MHpwb442/ysD16B&#10;fl2u0raQ78/dm/v43iz2S1fslbq/y8QMWLLndIXhUp+qQ02dduGAJrJeQS6EJJSMaZ4BI2KaS1J2&#10;F+VRAq8r/n9D/QdQSwMEFAAAAAgAh07iQNWZzKPiAQAArgMAAA4AAABkcnMvZTJvRG9jLnhtbK1T&#10;S24bMQzdF+gdBO3r8S+2M/A4CxvpJm0NJD0ArdF4hEqiIMke+yy9Rlfd9Di5Rin50ybdZNFZCKJI&#10;PvI9cuZ3B6PZXvqg0FZ80OtzJq3AWtltxb8+3X+YcRYi2Bo0Wlnxowz8bvH+3bxzpRxii7qWnhGI&#10;DWXnKt7G6MqiCKKVBkIPnbTkbNAbiGT6bVF76Ajd6GLY70+KDn3tPAoZAr2uTk5+RvRvAcSmUUKu&#10;UOyMtPGE6qWGSJRCq1zgi9xt00gRvzRNkJHpihPTmE8qQvdNOovFHMqtB9cqcW4B3tLCK04GlKWi&#10;V6gVRGA7r/6BMkp4DNjEnkBTnIhkRYjFoP9Km8cWnMxcSOrgrqKH/wcrPu/Xnqm64uPR7WQ2Hd/Q&#10;+C0YGvzz9x/PP3+xURapc6Gk2KVd+0RTHOyje0DxLTCLyxbsVuZmn46OMgdJ1uJFSjKCo1Kb7hPW&#10;FAO7iFmxQ+NNgiQt2CEP5ngdjDxEJuhxMJ6OaHc4E+Sb3M5ucgEoL7nOh/hRomHpUnGtbJINStg/&#10;hJh6gfISkp4t3iut8+i1ZR3hD6eEnlwBtaqTNxt+u1lqz/aQtid/58IvwjzubH2qou2ZeOKaljCU&#10;G6yPa38RhMaY2zmvXNqTv+2c/ec3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jf3RdkAAAAL&#10;AQAADwAAAAAAAAABACAAAAAiAAAAZHJzL2Rvd25yZXYueG1sUEsBAhQAFAAAAAgAh07iQNWZzKPi&#10;AQAArgMAAA4AAAAAAAAAAQAgAAAAKAEAAGRycy9lMm9Eb2MueG1sUEsFBgAAAAAGAAYAWQEAAHwF&#10;AAAAAA==&#10;">
                <v:fill on="f" focussize="0,0"/>
                <v:stroke weight="1pt" color="#000000" joinstyle="round"/>
                <v:imagedata o:title=""/>
                <o:lock v:ext="edit" aspectratio="f"/>
              </v:line>
            </w:pict>
          </mc:Fallback>
        </mc:AlternateContent>
      </w:r>
      <w:r>
        <w:rPr>
          <w:rFonts w:ascii="Times New Roman" w:hAnsi="Times New Roman" w:cs="Times New Roman" w:eastAsiaTheme="minorEastAsia"/>
          <w:b w:val="0"/>
          <w:caps w:val="0"/>
          <w:color w:val="auto"/>
          <w:spacing w:val="0"/>
          <w:kern w:val="0"/>
          <w:sz w:val="21"/>
          <w:szCs w:val="20"/>
          <w:lang w:val="en-US" w:eastAsia="zh-CN" w:bidi="ar-SA"/>
        </w:rPr>
        <w:t>[8] HJ917-2017《</w:t>
      </w:r>
      <w:r>
        <w:rPr>
          <w:rFonts w:hint="eastAsia" w:ascii="Times New Roman" w:hAnsi="Times New Roman" w:cs="Times New Roman" w:eastAsiaTheme="minorEastAsia"/>
          <w:b w:val="0"/>
          <w:caps w:val="0"/>
          <w:color w:val="auto"/>
          <w:spacing w:val="0"/>
          <w:kern w:val="0"/>
          <w:sz w:val="21"/>
          <w:szCs w:val="20"/>
          <w:lang w:val="en-US" w:eastAsia="zh-CN" w:bidi="ar-SA"/>
        </w:rPr>
        <w:t>固定污染源废气 气态汞的测定 活性炭吸附/热裂解原子吸收分光光度法</w:t>
      </w:r>
      <w:r>
        <w:rPr>
          <w:rFonts w:hint="eastAsia" w:cs="Times New Roman" w:eastAsiaTheme="minorEastAsia"/>
          <w:b w:val="0"/>
          <w:caps w:val="0"/>
          <w:color w:val="auto"/>
          <w:spacing w:val="0"/>
          <w:kern w:val="0"/>
          <w:sz w:val="21"/>
          <w:szCs w:val="20"/>
          <w:lang w:val="en-US" w:eastAsia="zh-CN" w:bidi="ar-SA"/>
        </w:rPr>
        <w:t>》</w:t>
      </w:r>
    </w:p>
    <w:p w14:paraId="4A3B4B25">
      <w:pPr>
        <w:keepNext w:val="0"/>
        <w:keepLines w:val="0"/>
        <w:pageBreakBefore w:val="0"/>
        <w:kinsoku/>
        <w:wordWrap/>
        <w:overflowPunct/>
        <w:topLinePunct w:val="0"/>
        <w:bidi w:val="0"/>
        <w:adjustRightInd/>
        <w:snapToGrid/>
        <w:spacing w:line="320" w:lineRule="atLeast"/>
        <w:ind w:firstLine="0" w:firstLineChars="0"/>
        <w:textAlignment w:val="auto"/>
        <w:rPr>
          <w:kern w:val="0"/>
          <w:szCs w:val="20"/>
        </w:rPr>
      </w:pPr>
    </w:p>
    <w:sectPr>
      <w:footerReference r:id="rId15" w:type="first"/>
      <w:footerReference r:id="rId13" w:type="default"/>
      <w:footerReference r:id="rId14" w:type="even"/>
      <w:pgSz w:w="11906" w:h="16838"/>
      <w:pgMar w:top="787" w:right="1134" w:bottom="1134" w:left="1418" w:header="907" w:footer="1134" w:gutter="0"/>
      <w:pgNumType w:fmt="decimal" w:start="1"/>
      <w:cols w:space="720"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1525">
    <w:pPr>
      <w:pStyle w:val="104"/>
      <w:jc w:val="both"/>
      <w:rPr>
        <w:rFonts w:ascii="Times New Roman" w:hAnsi="Times New Roma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margin">
                <wp:posOffset>5689600</wp:posOffset>
              </wp:positionH>
              <wp:positionV relativeFrom="paragraph">
                <wp:posOffset>299720</wp:posOffset>
              </wp:positionV>
              <wp:extent cx="236855" cy="139700"/>
              <wp:effectExtent l="48895" t="0" r="0" b="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rot="3265692">
                        <a:off x="0" y="0"/>
                        <a:ext cx="236855" cy="139700"/>
                      </a:xfrm>
                      <a:prstGeom prst="rect">
                        <a:avLst/>
                      </a:prstGeom>
                      <a:noFill/>
                      <a:ln>
                        <a:noFill/>
                      </a:ln>
                      <a:effectLst/>
                    </wps:spPr>
                    <wps:txbx>
                      <w:txbxContent>
                        <w:p w14:paraId="4667CC1F">
                          <w:pPr>
                            <w:pStyle w:val="26"/>
                          </w:pPr>
                          <w:r>
                            <w:t>1</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left:448pt;margin-top:23.6pt;height:11pt;width:18.65pt;mso-position-horizontal-relative:margin;mso-wrap-style:none;rotation:3567007f;z-index:251661312;mso-width-relative:page;mso-height-relative:page;" filled="f" stroked="f" coordsize="21600,21600" o:gfxdata="UEsDBAoAAAAAAIdO4kAAAAAAAAAAAAAAAAAEAAAAZHJzL1BLAwQUAAAACACHTuJAvy7F8NoAAAAJ&#10;AQAADwAAAGRycy9kb3ducmV2LnhtbE2PzU7DMBCE70i8g7VI3KjdBIUkjVOpIC6gqiLQQ29OvCQR&#10;8Tqy3R/eHnOC42hGM99U64uZ2AmdHy1JWC4EMKTO6pF6CR/vz3c5MB8UaTVZQgnf6GFdX19VqtT2&#10;TG94akLPYgn5UkkYQphLzn03oFF+YWek6H1aZ1SI0vVcO3WO5WbiiRAZN2qkuDCoGR8H7L6ao5HQ&#10;bcTLvMl3+8NI28Y9bdss379KeXuzFCtgAS/hLwy/+BEd6sjU2iNpzyYJeZHFL0HC/UMCLAaKNE2B&#10;tRKyIgFeV/z/g/oHUEsDBBQAAAAIAIdO4kC/TyyYGwIAAB8EAAAOAAAAZHJzL2Uyb0RvYy54bWyt&#10;U82O0zAQviPxDpbvNG1Ky27UdLVsVYS0/EgLD+A6TmOReKyx26Q8ALwBJy7cea4+B2Mn7S7LZQ9c&#10;osl4/M1833xeXHVNzfYKnQaT88lozJkyEgpttjn//Gn94oIz54UpRA1G5fygHL9aPn+2aG2mUqig&#10;LhQyAjEua23OK+9tliROVqoRbgRWGTosARvh6Re3SYGiJfSmTtLxeJ60gIVFkMo5yq76Qz4g4lMA&#10;oSy1VCuQu0YZ36OiqoUnSq7S1vFlnLYslfQfytIpz+qcE1Mfv9SE4k34JsuFyLYobKXlMIJ4ygiP&#10;ODVCG2p6hloJL9gO9T9QjZYIDko/ktAkPZGoCLGYjB9pc1cJqyIXktrZs+ju/8HK9/uPyHRBTkg5&#10;M6KhjR9/fD/+/H389Y29DPq01mVUdmep0HevoaPayNXZW5BfHDNwUwmzVdeI0FZKFDTfJNxMHlzt&#10;cVwA2bTvoKA+YuchAnUlNgyBljNN57P5ZRqzJA6jXrSpw3lTqvNMUjKdzi9mM84kHU2ml6/GcZOJ&#10;yAJU2INF598oaFgIco5khAgq9rfOh9HuS0K5gbWu62iG2vyVoMI+o6KbhtuBWODSs/LdphuE2kBx&#10;IIqRDE1O74y6V4BfOWvJZTk39Kg4q98aEikY8hTgKdicAmEkXcy556wPb3xv3J1Fva0I97SGaxJy&#10;rSOtMFg/wyA/+SayHTwejPnwP1bdv+v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8uxfDaAAAA&#10;CQEAAA8AAAAAAAAAAQAgAAAAIgAAAGRycy9kb3ducmV2LnhtbFBLAQIUABQAAAAIAIdO4kC/TyyY&#10;GwIAAB8EAAAOAAAAAAAAAAEAIAAAACkBAABkcnMvZTJvRG9jLnhtbFBLBQYAAAAABgAGAFkBAAC2&#10;BQAAAAA=&#10;">
              <v:fill on="f" focussize="0,0"/>
              <v:stroke on="f"/>
              <v:imagedata o:title=""/>
              <o:lock v:ext="edit" aspectratio="f"/>
              <v:textbox inset="0mm,0mm,0mm,0mm" style="mso-fit-shape-to-text:t;">
                <w:txbxContent>
                  <w:p w14:paraId="4667CC1F">
                    <w:pPr>
                      <w:pStyle w:val="26"/>
                    </w:pPr>
                    <w:r>
                      <w:t>1</w:t>
                    </w:r>
                  </w:p>
                </w:txbxContent>
              </v:textbox>
            </v:shape>
          </w:pict>
        </mc:Fallback>
      </mc:AlternateContent>
    </w:r>
    <w:r>
      <w:rPr>
        <w:rFonts w:ascii="Times New Roman" w:hAnsi="Times New Roman"/>
        <w:sz w:val="16"/>
        <w:szCs w:val="16"/>
      </w:rPr>
      <w:t>1）Celsis® Advance II 光度计。给出这一信息是为了方便本标准的使用者，并不表示对该产品的认可，如果其他等效产品具有相同的效果，则可使用这些等效的产品。</w: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-927100</wp:posOffset>
              </wp:positionV>
              <wp:extent cx="5911215" cy="147955"/>
              <wp:effectExtent l="0" t="0" r="0" b="0"/>
              <wp:wrapNone/>
              <wp:docPr id="20" name="文本框 7"/>
              <wp:cNvGraphicFramePr/>
              <a:graphic xmlns:a="http://schemas.openxmlformats.org/drawingml/2006/main">
                <a:graphicData uri="http://schemas.microsoft.com/office/word/2010/wordprocessingShape">
                  <wps:wsp>
                    <wps:cNvSpPr txBox="1"/>
                    <wps:spPr>
                      <a:xfrm>
                        <a:off x="0" y="0"/>
                        <a:ext cx="5911215" cy="147955"/>
                      </a:xfrm>
                      <a:prstGeom prst="rect">
                        <a:avLst/>
                      </a:prstGeom>
                      <a:noFill/>
                      <a:ln w="9525">
                        <a:noFill/>
                      </a:ln>
                      <a:effectLst/>
                    </wps:spPr>
                    <wps:txbx>
                      <w:txbxContent>
                        <w:p w14:paraId="103CBD9F">
                          <w:pPr>
                            <w:pStyle w:val="26"/>
                          </w:pPr>
                        </w:p>
                      </w:txbxContent>
                    </wps:txbx>
                    <wps:bodyPr wrap="square" lIns="0" tIns="0" rIns="0" bIns="0">
                      <a:spAutoFit/>
                    </wps:bodyPr>
                  </wps:wsp>
                </a:graphicData>
              </a:graphic>
            </wp:anchor>
          </w:drawing>
        </mc:Choice>
        <mc:Fallback>
          <w:pict>
            <v:shape id="文本框 7" o:spid="_x0000_s1026" o:spt="202" type="#_x0000_t202" style="position:absolute;left:0pt;margin-top:-73pt;height:11.65pt;width:465.45pt;mso-position-horizontal:left;mso-position-horizontal-relative:margin;z-index:251659264;mso-width-relative:page;mso-height-relative:page;" filled="f" stroked="f" coordsize="21600,21600" o:gfxdata="UEsDBAoAAAAAAIdO4kAAAAAAAAAAAAAAAAAEAAAAZHJzL1BLAwQUAAAACACHTuJAmRelj9YAAAAK&#10;AQAADwAAAGRycy9kb3ducmV2LnhtbE2PMU/EMAyFdyT+Q2QkFnSXpKBCS9MbECxsHCxsuca0FY1T&#10;Nbm23K/HN8Fm+z09f6/arX4QM06xD2RAbxUIpCa4nloDH+8vmwcQMVlydgiEBn4wwq6+vKhs6cJC&#10;bzjvUys4hGJpDXQpjaWUsenQ27gNIxJrX2HyNvE6tdJNduFwP8hMqVx62xN/6OyITx023/ujN5Cv&#10;z+PNa4HZcmqGmT5PWifUxlxfafUIIuGa/sxwxmd0qJnpEI7kohgMcJFkYKPvcp5YL25VAeJwPmXZ&#10;Pci6kv8r1L9QSwMEFAAAAAgAh07iQPGdXn7YAQAApgMAAA4AAABkcnMvZTJvRG9jLnhtbK1TS27b&#10;MBDdF8gdCO5jWULV1ILlIIWRoEDRFkh7AJqiLAL8hUNb8gXaG3TVTfc9l8+RISU7RbrJIhtqODN8&#10;M+/NaHk9aEX2woO0pqb5bE6JMNw20mxr+v3b7eV7SiAw0zBljajpQQC9Xl28WfauEoXtrGqEJwhi&#10;oOpdTbsQXJVlwDuhGcysEwaDrfWaBbz6bdZ41iO6Vlkxn7/Leusb5y0XAOhdj0E6IfqXANq2lVys&#10;Ld9pYcKI6oViASlBJx3QVeq2bQUPX9oWRCCqpsg0pBOLoL2JZ7Zasmrrmeskn1pgL2nhGSfNpMGi&#10;Z6g1C4zsvPwPSkvuLdg2zLjV2UgkKYIs8vkzbe475kTiglKDO4sOrwfLP++/eiKbmhYoiWEaJ378&#10;9fP4++/xzw9yFfXpHVSYdu8wMQwf7IBbc/IDOiPtofU6fpEQwThCHc7qiiEQjs5ykedFXlLCMZa/&#10;vVqUZYTJnl47D+FOWE2iUVOP00uisv0nCGPqKSUWM/ZWKpUmqAzpa7ooizI9OEcQXJmYK9IuTDCR&#10;0dh5tMKwGSaaG9sckGWP+1BTeNgxLyhRHw0KHpfnZPiTsZmMWAHczS5gR6nRiDuCIcF4wfElqtOq&#10;xf34956ynn6v1S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F6WP1gAAAAoBAAAPAAAAAAAAAAEA&#10;IAAAACIAAABkcnMvZG93bnJldi54bWxQSwECFAAUAAAACACHTuJA8Z1eftgBAACmAwAADgAAAAAA&#10;AAABACAAAAAlAQAAZHJzL2Uyb0RvYy54bWxQSwUGAAAAAAYABgBZAQAAbwUAAAAA&#10;">
              <v:fill on="f" focussize="0,0"/>
              <v:stroke on="f"/>
              <v:imagedata o:title=""/>
              <o:lock v:ext="edit" aspectratio="f"/>
              <v:textbox inset="0mm,0mm,0mm,0mm" style="mso-fit-shape-to-text:t;">
                <w:txbxContent>
                  <w:p w14:paraId="103CBD9F">
                    <w:pPr>
                      <w:pStyle w:val="2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CD53B">
    <w:pPr>
      <w:pStyle w:val="26"/>
    </w:pPr>
    <w:r>
      <w:rPr>
        <w:sz w:val="16"/>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3B79A2">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1D3B79A2">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206B">
    <w:pPr>
      <w:pStyle w:val="26"/>
    </w:pPr>
    <w:r>
      <w:rPr>
        <w:sz w:val="16"/>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D6FFE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09D6FFE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6066">
    <w:pPr>
      <w:pStyle w:val="26"/>
      <w:ind w:firstLine="0" w:firstLineChars="0"/>
    </w:pPr>
    <w:r>
      <w:rPr>
        <w:sz w:val="16"/>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12ACB0">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412ACB0">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5C77">
    <w:pPr>
      <w:pStyle w:val="26"/>
    </w:pPr>
    <w:r>
      <w:rPr>
        <w:sz w:val="16"/>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E2EBEC">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43E2EBEC">
                    <w:pPr>
                      <w:pStyle w:val="26"/>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5308">
    <w:pPr>
      <w:pStyle w:val="26"/>
    </w:pPr>
    <w:r>
      <w:rPr>
        <w:sz w:val="16"/>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9F1425">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3B9F1425">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8A22">
    <w:pPr>
      <w:pStyle w:val="26"/>
      <w:ind w:firstLine="0" w:firstLineChars="0"/>
    </w:pPr>
    <w:r>
      <w:rPr>
        <w:sz w:val="16"/>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93A538">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D93A538">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8CA8">
    <w:pPr>
      <w:jc w:val="left"/>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FAA0">
    <w:pPr>
      <w:jc w:val="left"/>
      <w:rPr>
        <w:rFonts w:hint="eastAsia"/>
      </w:rPr>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9479">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7A3D">
    <w:pPr>
      <w:jc w:val="left"/>
      <w:rPr>
        <w:rFonts w:hint="eastAsia"/>
      </w:rPr>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7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5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2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14B6843"/>
    <w:multiLevelType w:val="multilevel"/>
    <w:tmpl w:val="214B6843"/>
    <w:lvl w:ilvl="0" w:tentative="0">
      <w:start w:val="1"/>
      <w:numFmt w:val="decimal"/>
      <w:pStyle w:val="2"/>
      <w:lvlText w:val="%1"/>
      <w:lvlJc w:val="left"/>
      <w:pPr>
        <w:ind w:left="578" w:hanging="578"/>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6">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6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91"/>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9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9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51"/>
      <w:lvlText w:val="%2)"/>
      <w:lvlJc w:val="left"/>
      <w:pPr>
        <w:tabs>
          <w:tab w:val="left" w:pos="1260"/>
        </w:tabs>
        <w:ind w:left="1259" w:hanging="419"/>
      </w:pPr>
      <w:rPr>
        <w:rFonts w:hint="eastAsia"/>
      </w:rPr>
    </w:lvl>
    <w:lvl w:ilvl="2" w:tentative="0">
      <w:start w:val="1"/>
      <w:numFmt w:val="decimal"/>
      <w:pStyle w:val="9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7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4D823F36"/>
    <w:multiLevelType w:val="multilevel"/>
    <w:tmpl w:val="4D823F36"/>
    <w:lvl w:ilvl="0" w:tentative="0">
      <w:start w:val="4"/>
      <w:numFmt w:val="decimal"/>
      <w:pStyle w:val="109"/>
      <w:lvlText w:val="%1"/>
      <w:lvlJc w:val="left"/>
      <w:pPr>
        <w:ind w:left="360" w:hanging="360"/>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7C2AF5"/>
    <w:multiLevelType w:val="multilevel"/>
    <w:tmpl w:val="557C2AF5"/>
    <w:lvl w:ilvl="0" w:tentative="0">
      <w:start w:val="1"/>
      <w:numFmt w:val="decimal"/>
      <w:pStyle w:val="14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160"/>
      <w:lvlText w:val="%1"/>
      <w:lvlJc w:val="left"/>
      <w:pPr>
        <w:tabs>
          <w:tab w:val="left" w:pos="0"/>
        </w:tabs>
        <w:ind w:left="0" w:hanging="425"/>
      </w:pPr>
      <w:rPr>
        <w:rFonts w:hint="eastAsia"/>
      </w:rPr>
    </w:lvl>
    <w:lvl w:ilvl="1" w:tentative="0">
      <w:start w:val="1"/>
      <w:numFmt w:val="decimal"/>
      <w:pStyle w:val="14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0BF4D16"/>
    <w:multiLevelType w:val="multilevel"/>
    <w:tmpl w:val="60BF4D1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6260FA"/>
    <w:multiLevelType w:val="multilevel"/>
    <w:tmpl w:val="646260FA"/>
    <w:lvl w:ilvl="0" w:tentative="0">
      <w:start w:val="1"/>
      <w:numFmt w:val="decimal"/>
      <w:pStyle w:val="14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1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92"/>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3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5"/>
  </w:num>
  <w:num w:numId="2">
    <w:abstractNumId w:val="8"/>
  </w:num>
  <w:num w:numId="3">
    <w:abstractNumId w:val="1"/>
  </w:num>
  <w:num w:numId="4">
    <w:abstractNumId w:val="10"/>
  </w:num>
  <w:num w:numId="5">
    <w:abstractNumId w:val="16"/>
  </w:num>
  <w:num w:numId="6">
    <w:abstractNumId w:val="7"/>
  </w:num>
  <w:num w:numId="7">
    <w:abstractNumId w:val="17"/>
  </w:num>
  <w:num w:numId="8">
    <w:abstractNumId w:val="9"/>
  </w:num>
  <w:num w:numId="9">
    <w:abstractNumId w:val="6"/>
  </w:num>
  <w:num w:numId="10">
    <w:abstractNumId w:val="11"/>
  </w:num>
  <w:num w:numId="11">
    <w:abstractNumId w:val="4"/>
  </w:num>
  <w:num w:numId="12">
    <w:abstractNumId w:val="18"/>
  </w:num>
  <w:num w:numId="13">
    <w:abstractNumId w:val="2"/>
  </w:num>
  <w:num w:numId="14">
    <w:abstractNumId w:val="12"/>
  </w:num>
  <w:num w:numId="15">
    <w:abstractNumId w:val="13"/>
  </w:num>
  <w:num w:numId="16">
    <w:abstractNumId w:val="15"/>
  </w:num>
  <w:num w:numId="17">
    <w:abstractNumId w:val="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3YjU4ZTMxYTk4OTljNTk0ZjdlYWFlZjdjMWJkNmIifQ=="/>
    <w:docVar w:name="KSO_WPS_MARK_KEY" w:val="de89e72b-6632-428f-ae51-8d655ee205d6"/>
  </w:docVars>
  <w:rsids>
    <w:rsidRoot w:val="00035925"/>
    <w:rsid w:val="00000244"/>
    <w:rsid w:val="000004B0"/>
    <w:rsid w:val="0000185F"/>
    <w:rsid w:val="00002F01"/>
    <w:rsid w:val="00004E66"/>
    <w:rsid w:val="00004E9D"/>
    <w:rsid w:val="0000586F"/>
    <w:rsid w:val="00005B53"/>
    <w:rsid w:val="0000755C"/>
    <w:rsid w:val="00007C88"/>
    <w:rsid w:val="00010B37"/>
    <w:rsid w:val="00011C38"/>
    <w:rsid w:val="00012128"/>
    <w:rsid w:val="00013D86"/>
    <w:rsid w:val="00013E02"/>
    <w:rsid w:val="000162E3"/>
    <w:rsid w:val="00016A3B"/>
    <w:rsid w:val="00017E46"/>
    <w:rsid w:val="000202F7"/>
    <w:rsid w:val="0002143C"/>
    <w:rsid w:val="000236FC"/>
    <w:rsid w:val="00023D47"/>
    <w:rsid w:val="00025A65"/>
    <w:rsid w:val="00026C31"/>
    <w:rsid w:val="00027280"/>
    <w:rsid w:val="000320A7"/>
    <w:rsid w:val="0003232F"/>
    <w:rsid w:val="000324AE"/>
    <w:rsid w:val="000346C5"/>
    <w:rsid w:val="00035673"/>
    <w:rsid w:val="00035925"/>
    <w:rsid w:val="00036B52"/>
    <w:rsid w:val="00036F9A"/>
    <w:rsid w:val="000373AD"/>
    <w:rsid w:val="00040B26"/>
    <w:rsid w:val="00040E0E"/>
    <w:rsid w:val="00040F6C"/>
    <w:rsid w:val="000444A4"/>
    <w:rsid w:val="00047494"/>
    <w:rsid w:val="00051973"/>
    <w:rsid w:val="00052019"/>
    <w:rsid w:val="00052B2F"/>
    <w:rsid w:val="00052D92"/>
    <w:rsid w:val="000536B3"/>
    <w:rsid w:val="00054E6E"/>
    <w:rsid w:val="00057682"/>
    <w:rsid w:val="00064AD7"/>
    <w:rsid w:val="0006607D"/>
    <w:rsid w:val="00066730"/>
    <w:rsid w:val="0006692D"/>
    <w:rsid w:val="00066B91"/>
    <w:rsid w:val="000673E7"/>
    <w:rsid w:val="00067CDF"/>
    <w:rsid w:val="000702C7"/>
    <w:rsid w:val="00072A42"/>
    <w:rsid w:val="000731E6"/>
    <w:rsid w:val="00073A92"/>
    <w:rsid w:val="00074FBE"/>
    <w:rsid w:val="00075CC7"/>
    <w:rsid w:val="00076321"/>
    <w:rsid w:val="00077B3E"/>
    <w:rsid w:val="00083A09"/>
    <w:rsid w:val="00085072"/>
    <w:rsid w:val="00087DA3"/>
    <w:rsid w:val="0009005E"/>
    <w:rsid w:val="0009099A"/>
    <w:rsid w:val="00092857"/>
    <w:rsid w:val="0009388C"/>
    <w:rsid w:val="00094F8C"/>
    <w:rsid w:val="00095C80"/>
    <w:rsid w:val="00095E57"/>
    <w:rsid w:val="000960D8"/>
    <w:rsid w:val="000962EC"/>
    <w:rsid w:val="0009677A"/>
    <w:rsid w:val="000978CD"/>
    <w:rsid w:val="000A077E"/>
    <w:rsid w:val="000A20A9"/>
    <w:rsid w:val="000A48B1"/>
    <w:rsid w:val="000A70FE"/>
    <w:rsid w:val="000B2F03"/>
    <w:rsid w:val="000B3143"/>
    <w:rsid w:val="000B4FAF"/>
    <w:rsid w:val="000C3648"/>
    <w:rsid w:val="000C413A"/>
    <w:rsid w:val="000C5395"/>
    <w:rsid w:val="000C59BC"/>
    <w:rsid w:val="000C6B05"/>
    <w:rsid w:val="000C6DD6"/>
    <w:rsid w:val="000C73D4"/>
    <w:rsid w:val="000D0CB3"/>
    <w:rsid w:val="000D1B49"/>
    <w:rsid w:val="000D3D4C"/>
    <w:rsid w:val="000D4295"/>
    <w:rsid w:val="000D4F51"/>
    <w:rsid w:val="000D5702"/>
    <w:rsid w:val="000D718B"/>
    <w:rsid w:val="000E0C46"/>
    <w:rsid w:val="000E1A64"/>
    <w:rsid w:val="000E3E55"/>
    <w:rsid w:val="000E5C22"/>
    <w:rsid w:val="000F030C"/>
    <w:rsid w:val="000F129C"/>
    <w:rsid w:val="000F244A"/>
    <w:rsid w:val="000F3010"/>
    <w:rsid w:val="000F4EE1"/>
    <w:rsid w:val="000F744D"/>
    <w:rsid w:val="00103DF0"/>
    <w:rsid w:val="00103E68"/>
    <w:rsid w:val="0010536E"/>
    <w:rsid w:val="001056DE"/>
    <w:rsid w:val="00107A6F"/>
    <w:rsid w:val="001119C5"/>
    <w:rsid w:val="001124C0"/>
    <w:rsid w:val="00117353"/>
    <w:rsid w:val="001179DC"/>
    <w:rsid w:val="00120236"/>
    <w:rsid w:val="001227D7"/>
    <w:rsid w:val="00122B19"/>
    <w:rsid w:val="001234D4"/>
    <w:rsid w:val="0012415D"/>
    <w:rsid w:val="0012484C"/>
    <w:rsid w:val="0012560E"/>
    <w:rsid w:val="001260E7"/>
    <w:rsid w:val="00126AFB"/>
    <w:rsid w:val="00127370"/>
    <w:rsid w:val="0013175F"/>
    <w:rsid w:val="00133E2F"/>
    <w:rsid w:val="0013496C"/>
    <w:rsid w:val="0013667A"/>
    <w:rsid w:val="00136F76"/>
    <w:rsid w:val="00142AAB"/>
    <w:rsid w:val="00142BEA"/>
    <w:rsid w:val="00143D0C"/>
    <w:rsid w:val="00144890"/>
    <w:rsid w:val="00145953"/>
    <w:rsid w:val="00145A5D"/>
    <w:rsid w:val="00150016"/>
    <w:rsid w:val="001512B4"/>
    <w:rsid w:val="00151C5A"/>
    <w:rsid w:val="00152DE1"/>
    <w:rsid w:val="0015338A"/>
    <w:rsid w:val="001535D1"/>
    <w:rsid w:val="00153F86"/>
    <w:rsid w:val="0015528F"/>
    <w:rsid w:val="00156BF7"/>
    <w:rsid w:val="00161C9D"/>
    <w:rsid w:val="001620A5"/>
    <w:rsid w:val="00162434"/>
    <w:rsid w:val="00162579"/>
    <w:rsid w:val="00164E53"/>
    <w:rsid w:val="0016529E"/>
    <w:rsid w:val="00165AEE"/>
    <w:rsid w:val="0016699D"/>
    <w:rsid w:val="00167708"/>
    <w:rsid w:val="001710F6"/>
    <w:rsid w:val="0017171A"/>
    <w:rsid w:val="00172755"/>
    <w:rsid w:val="0017350D"/>
    <w:rsid w:val="00174571"/>
    <w:rsid w:val="00175159"/>
    <w:rsid w:val="00176208"/>
    <w:rsid w:val="0018211B"/>
    <w:rsid w:val="001840D3"/>
    <w:rsid w:val="001842E5"/>
    <w:rsid w:val="00184C1C"/>
    <w:rsid w:val="00186470"/>
    <w:rsid w:val="00186907"/>
    <w:rsid w:val="00186C46"/>
    <w:rsid w:val="00186DA6"/>
    <w:rsid w:val="00187192"/>
    <w:rsid w:val="001900F8"/>
    <w:rsid w:val="00191258"/>
    <w:rsid w:val="001925AE"/>
    <w:rsid w:val="00192680"/>
    <w:rsid w:val="00193037"/>
    <w:rsid w:val="00193A2C"/>
    <w:rsid w:val="00193B49"/>
    <w:rsid w:val="00194821"/>
    <w:rsid w:val="00195BA6"/>
    <w:rsid w:val="00195C14"/>
    <w:rsid w:val="001A0BA2"/>
    <w:rsid w:val="001A1B97"/>
    <w:rsid w:val="001A1F28"/>
    <w:rsid w:val="001A288E"/>
    <w:rsid w:val="001A4186"/>
    <w:rsid w:val="001A7B9D"/>
    <w:rsid w:val="001B18B1"/>
    <w:rsid w:val="001B2088"/>
    <w:rsid w:val="001B3F46"/>
    <w:rsid w:val="001B468E"/>
    <w:rsid w:val="001B4F85"/>
    <w:rsid w:val="001B5EDC"/>
    <w:rsid w:val="001B6DC2"/>
    <w:rsid w:val="001C149C"/>
    <w:rsid w:val="001C21AC"/>
    <w:rsid w:val="001C347C"/>
    <w:rsid w:val="001C47BA"/>
    <w:rsid w:val="001C49F6"/>
    <w:rsid w:val="001C593E"/>
    <w:rsid w:val="001C59EA"/>
    <w:rsid w:val="001C5A47"/>
    <w:rsid w:val="001C7977"/>
    <w:rsid w:val="001D406C"/>
    <w:rsid w:val="001D41EE"/>
    <w:rsid w:val="001D5032"/>
    <w:rsid w:val="001D52DC"/>
    <w:rsid w:val="001D5FCB"/>
    <w:rsid w:val="001D62E8"/>
    <w:rsid w:val="001D76DF"/>
    <w:rsid w:val="001D7CC8"/>
    <w:rsid w:val="001E0146"/>
    <w:rsid w:val="001E0380"/>
    <w:rsid w:val="001E13B1"/>
    <w:rsid w:val="001E307C"/>
    <w:rsid w:val="001E517D"/>
    <w:rsid w:val="001E5727"/>
    <w:rsid w:val="001E6A5E"/>
    <w:rsid w:val="001E6BCB"/>
    <w:rsid w:val="001E75B8"/>
    <w:rsid w:val="001F375A"/>
    <w:rsid w:val="001F3A19"/>
    <w:rsid w:val="001F4C15"/>
    <w:rsid w:val="001F50FA"/>
    <w:rsid w:val="001F534C"/>
    <w:rsid w:val="001F6113"/>
    <w:rsid w:val="001F6DBA"/>
    <w:rsid w:val="002008F7"/>
    <w:rsid w:val="00203122"/>
    <w:rsid w:val="00206414"/>
    <w:rsid w:val="0020710C"/>
    <w:rsid w:val="002072C5"/>
    <w:rsid w:val="00211185"/>
    <w:rsid w:val="00212142"/>
    <w:rsid w:val="00212D8A"/>
    <w:rsid w:val="002138AB"/>
    <w:rsid w:val="0021591E"/>
    <w:rsid w:val="00222E94"/>
    <w:rsid w:val="00223FD4"/>
    <w:rsid w:val="0022650F"/>
    <w:rsid w:val="00226865"/>
    <w:rsid w:val="00226B6C"/>
    <w:rsid w:val="00231993"/>
    <w:rsid w:val="002326A7"/>
    <w:rsid w:val="002326DA"/>
    <w:rsid w:val="00233773"/>
    <w:rsid w:val="00233CE5"/>
    <w:rsid w:val="002340F7"/>
    <w:rsid w:val="00234467"/>
    <w:rsid w:val="00234CC9"/>
    <w:rsid w:val="002377F0"/>
    <w:rsid w:val="00237D8D"/>
    <w:rsid w:val="002403E7"/>
    <w:rsid w:val="00241DA2"/>
    <w:rsid w:val="00241E9C"/>
    <w:rsid w:val="00242831"/>
    <w:rsid w:val="00243617"/>
    <w:rsid w:val="00245131"/>
    <w:rsid w:val="00246AA8"/>
    <w:rsid w:val="00247FEE"/>
    <w:rsid w:val="00250E7D"/>
    <w:rsid w:val="0025257E"/>
    <w:rsid w:val="00254008"/>
    <w:rsid w:val="002555DA"/>
    <w:rsid w:val="0025607C"/>
    <w:rsid w:val="002565D5"/>
    <w:rsid w:val="002622C0"/>
    <w:rsid w:val="002634EC"/>
    <w:rsid w:val="00263CD0"/>
    <w:rsid w:val="00265CAF"/>
    <w:rsid w:val="0026625A"/>
    <w:rsid w:val="00272981"/>
    <w:rsid w:val="00272B68"/>
    <w:rsid w:val="0027788A"/>
    <w:rsid w:val="002778AE"/>
    <w:rsid w:val="00277E75"/>
    <w:rsid w:val="00281D31"/>
    <w:rsid w:val="0028269A"/>
    <w:rsid w:val="00283590"/>
    <w:rsid w:val="00283B6A"/>
    <w:rsid w:val="00283D59"/>
    <w:rsid w:val="00285C84"/>
    <w:rsid w:val="00285D9F"/>
    <w:rsid w:val="002868CD"/>
    <w:rsid w:val="00286973"/>
    <w:rsid w:val="002878D8"/>
    <w:rsid w:val="00287941"/>
    <w:rsid w:val="00291CCA"/>
    <w:rsid w:val="002936F2"/>
    <w:rsid w:val="0029396D"/>
    <w:rsid w:val="00294E70"/>
    <w:rsid w:val="0029580E"/>
    <w:rsid w:val="002A0610"/>
    <w:rsid w:val="002A127D"/>
    <w:rsid w:val="002A1924"/>
    <w:rsid w:val="002A1D36"/>
    <w:rsid w:val="002A1E66"/>
    <w:rsid w:val="002A3B75"/>
    <w:rsid w:val="002A3CCD"/>
    <w:rsid w:val="002A4A0A"/>
    <w:rsid w:val="002A4D51"/>
    <w:rsid w:val="002A5A83"/>
    <w:rsid w:val="002A6E84"/>
    <w:rsid w:val="002A7420"/>
    <w:rsid w:val="002B0F12"/>
    <w:rsid w:val="002B1308"/>
    <w:rsid w:val="002B235E"/>
    <w:rsid w:val="002B4554"/>
    <w:rsid w:val="002B48AF"/>
    <w:rsid w:val="002C0437"/>
    <w:rsid w:val="002C0954"/>
    <w:rsid w:val="002C10AD"/>
    <w:rsid w:val="002C2E3B"/>
    <w:rsid w:val="002C69FF"/>
    <w:rsid w:val="002C72D8"/>
    <w:rsid w:val="002D11FA"/>
    <w:rsid w:val="002D17F6"/>
    <w:rsid w:val="002D2D2B"/>
    <w:rsid w:val="002D5FD0"/>
    <w:rsid w:val="002E0DDF"/>
    <w:rsid w:val="002E1790"/>
    <w:rsid w:val="002E2598"/>
    <w:rsid w:val="002E2906"/>
    <w:rsid w:val="002E3758"/>
    <w:rsid w:val="002E3DCD"/>
    <w:rsid w:val="002E4CAA"/>
    <w:rsid w:val="002E5635"/>
    <w:rsid w:val="002E64C3"/>
    <w:rsid w:val="002E6A2C"/>
    <w:rsid w:val="002F1D8C"/>
    <w:rsid w:val="002F21DA"/>
    <w:rsid w:val="002F3A6E"/>
    <w:rsid w:val="002F3D44"/>
    <w:rsid w:val="002F412A"/>
    <w:rsid w:val="002F4B3E"/>
    <w:rsid w:val="002F6649"/>
    <w:rsid w:val="002F6F75"/>
    <w:rsid w:val="002F7033"/>
    <w:rsid w:val="00301F39"/>
    <w:rsid w:val="00302CCE"/>
    <w:rsid w:val="00304060"/>
    <w:rsid w:val="00305C57"/>
    <w:rsid w:val="00305EFA"/>
    <w:rsid w:val="0031305D"/>
    <w:rsid w:val="003132F8"/>
    <w:rsid w:val="00314A69"/>
    <w:rsid w:val="0032136E"/>
    <w:rsid w:val="00321A24"/>
    <w:rsid w:val="003226DF"/>
    <w:rsid w:val="00322CD5"/>
    <w:rsid w:val="0032431B"/>
    <w:rsid w:val="0032457A"/>
    <w:rsid w:val="00325926"/>
    <w:rsid w:val="00326642"/>
    <w:rsid w:val="00327A8A"/>
    <w:rsid w:val="00332A8C"/>
    <w:rsid w:val="0033443A"/>
    <w:rsid w:val="00336610"/>
    <w:rsid w:val="00336CE8"/>
    <w:rsid w:val="0033792E"/>
    <w:rsid w:val="0034352D"/>
    <w:rsid w:val="0034382A"/>
    <w:rsid w:val="00343F73"/>
    <w:rsid w:val="00345060"/>
    <w:rsid w:val="00346223"/>
    <w:rsid w:val="00346A3A"/>
    <w:rsid w:val="0035323B"/>
    <w:rsid w:val="0035406A"/>
    <w:rsid w:val="00355056"/>
    <w:rsid w:val="003609D2"/>
    <w:rsid w:val="00362E50"/>
    <w:rsid w:val="00363231"/>
    <w:rsid w:val="00363F22"/>
    <w:rsid w:val="003649B1"/>
    <w:rsid w:val="00365861"/>
    <w:rsid w:val="00372328"/>
    <w:rsid w:val="0037277C"/>
    <w:rsid w:val="00373F62"/>
    <w:rsid w:val="00375564"/>
    <w:rsid w:val="00380E9D"/>
    <w:rsid w:val="00383191"/>
    <w:rsid w:val="003833BF"/>
    <w:rsid w:val="0038430B"/>
    <w:rsid w:val="00386DED"/>
    <w:rsid w:val="00387A71"/>
    <w:rsid w:val="00390D37"/>
    <w:rsid w:val="003912E7"/>
    <w:rsid w:val="003913D6"/>
    <w:rsid w:val="00391737"/>
    <w:rsid w:val="003933D3"/>
    <w:rsid w:val="00393809"/>
    <w:rsid w:val="00393947"/>
    <w:rsid w:val="0039430A"/>
    <w:rsid w:val="00394C84"/>
    <w:rsid w:val="00395BCF"/>
    <w:rsid w:val="00397CC9"/>
    <w:rsid w:val="00397F63"/>
    <w:rsid w:val="003A0E80"/>
    <w:rsid w:val="003A19EB"/>
    <w:rsid w:val="003A2275"/>
    <w:rsid w:val="003A4167"/>
    <w:rsid w:val="003A4C5B"/>
    <w:rsid w:val="003A6A4F"/>
    <w:rsid w:val="003A7088"/>
    <w:rsid w:val="003B00DF"/>
    <w:rsid w:val="003B05B3"/>
    <w:rsid w:val="003B0B13"/>
    <w:rsid w:val="003B1275"/>
    <w:rsid w:val="003B1778"/>
    <w:rsid w:val="003B2384"/>
    <w:rsid w:val="003B5693"/>
    <w:rsid w:val="003B6100"/>
    <w:rsid w:val="003B686D"/>
    <w:rsid w:val="003B72BE"/>
    <w:rsid w:val="003C11CB"/>
    <w:rsid w:val="003C14B0"/>
    <w:rsid w:val="003C347D"/>
    <w:rsid w:val="003C5855"/>
    <w:rsid w:val="003C6424"/>
    <w:rsid w:val="003C6F1E"/>
    <w:rsid w:val="003C75F3"/>
    <w:rsid w:val="003C78A3"/>
    <w:rsid w:val="003C7A4F"/>
    <w:rsid w:val="003D0799"/>
    <w:rsid w:val="003D5E29"/>
    <w:rsid w:val="003D7598"/>
    <w:rsid w:val="003E08FD"/>
    <w:rsid w:val="003E1867"/>
    <w:rsid w:val="003E2F2D"/>
    <w:rsid w:val="003E38FC"/>
    <w:rsid w:val="003E440F"/>
    <w:rsid w:val="003E5729"/>
    <w:rsid w:val="003E6436"/>
    <w:rsid w:val="003F0504"/>
    <w:rsid w:val="003F17DC"/>
    <w:rsid w:val="003F2872"/>
    <w:rsid w:val="003F2DAA"/>
    <w:rsid w:val="003F2FEC"/>
    <w:rsid w:val="003F4165"/>
    <w:rsid w:val="003F4EE0"/>
    <w:rsid w:val="003F58DD"/>
    <w:rsid w:val="003F638B"/>
    <w:rsid w:val="003F6C2B"/>
    <w:rsid w:val="00402153"/>
    <w:rsid w:val="00402FC1"/>
    <w:rsid w:val="00403925"/>
    <w:rsid w:val="00403A77"/>
    <w:rsid w:val="0040490E"/>
    <w:rsid w:val="004054F8"/>
    <w:rsid w:val="004063B5"/>
    <w:rsid w:val="00406F19"/>
    <w:rsid w:val="004071D1"/>
    <w:rsid w:val="0040773C"/>
    <w:rsid w:val="0041072A"/>
    <w:rsid w:val="004172D9"/>
    <w:rsid w:val="0042057B"/>
    <w:rsid w:val="0042112B"/>
    <w:rsid w:val="004214D8"/>
    <w:rsid w:val="00424681"/>
    <w:rsid w:val="00425082"/>
    <w:rsid w:val="0042634E"/>
    <w:rsid w:val="00426490"/>
    <w:rsid w:val="00430A95"/>
    <w:rsid w:val="00431DEB"/>
    <w:rsid w:val="00432B99"/>
    <w:rsid w:val="00434647"/>
    <w:rsid w:val="004408D6"/>
    <w:rsid w:val="00440BBA"/>
    <w:rsid w:val="00440CA5"/>
    <w:rsid w:val="00441400"/>
    <w:rsid w:val="00442119"/>
    <w:rsid w:val="004434F3"/>
    <w:rsid w:val="0044392C"/>
    <w:rsid w:val="004441E1"/>
    <w:rsid w:val="00444833"/>
    <w:rsid w:val="00446B29"/>
    <w:rsid w:val="004475F9"/>
    <w:rsid w:val="0044787B"/>
    <w:rsid w:val="004523BC"/>
    <w:rsid w:val="00453F9A"/>
    <w:rsid w:val="00456E99"/>
    <w:rsid w:val="00457FF9"/>
    <w:rsid w:val="00466538"/>
    <w:rsid w:val="00470635"/>
    <w:rsid w:val="004712AB"/>
    <w:rsid w:val="00471392"/>
    <w:rsid w:val="00471E91"/>
    <w:rsid w:val="00474675"/>
    <w:rsid w:val="0047470C"/>
    <w:rsid w:val="0047471E"/>
    <w:rsid w:val="0047794D"/>
    <w:rsid w:val="00477DB3"/>
    <w:rsid w:val="0048146E"/>
    <w:rsid w:val="00482745"/>
    <w:rsid w:val="00484ADF"/>
    <w:rsid w:val="0048550B"/>
    <w:rsid w:val="00485B70"/>
    <w:rsid w:val="00490BD7"/>
    <w:rsid w:val="00494532"/>
    <w:rsid w:val="00496813"/>
    <w:rsid w:val="00496E16"/>
    <w:rsid w:val="0049778B"/>
    <w:rsid w:val="00497816"/>
    <w:rsid w:val="004A0D5B"/>
    <w:rsid w:val="004A35F9"/>
    <w:rsid w:val="004A4569"/>
    <w:rsid w:val="004A596D"/>
    <w:rsid w:val="004A6350"/>
    <w:rsid w:val="004A7690"/>
    <w:rsid w:val="004B127C"/>
    <w:rsid w:val="004B24C1"/>
    <w:rsid w:val="004B2909"/>
    <w:rsid w:val="004B2EBB"/>
    <w:rsid w:val="004B43DE"/>
    <w:rsid w:val="004C1B66"/>
    <w:rsid w:val="004C292F"/>
    <w:rsid w:val="004C2AC3"/>
    <w:rsid w:val="004C3D7A"/>
    <w:rsid w:val="004C4D8B"/>
    <w:rsid w:val="004C668F"/>
    <w:rsid w:val="004C7ADE"/>
    <w:rsid w:val="004D6443"/>
    <w:rsid w:val="004D6E92"/>
    <w:rsid w:val="004D7944"/>
    <w:rsid w:val="004D7E0F"/>
    <w:rsid w:val="004E25CC"/>
    <w:rsid w:val="004E33D6"/>
    <w:rsid w:val="004E4837"/>
    <w:rsid w:val="004E4845"/>
    <w:rsid w:val="004E516C"/>
    <w:rsid w:val="004E6F20"/>
    <w:rsid w:val="004E6FB4"/>
    <w:rsid w:val="004F4381"/>
    <w:rsid w:val="004F69D3"/>
    <w:rsid w:val="004F776B"/>
    <w:rsid w:val="0050459F"/>
    <w:rsid w:val="00504CE4"/>
    <w:rsid w:val="00505861"/>
    <w:rsid w:val="00505F54"/>
    <w:rsid w:val="00507A1B"/>
    <w:rsid w:val="00510280"/>
    <w:rsid w:val="005120A6"/>
    <w:rsid w:val="00513373"/>
    <w:rsid w:val="00513D73"/>
    <w:rsid w:val="00514A43"/>
    <w:rsid w:val="005174E5"/>
    <w:rsid w:val="00520007"/>
    <w:rsid w:val="00522393"/>
    <w:rsid w:val="00522620"/>
    <w:rsid w:val="00523725"/>
    <w:rsid w:val="00524A08"/>
    <w:rsid w:val="00525291"/>
    <w:rsid w:val="00525656"/>
    <w:rsid w:val="005262D3"/>
    <w:rsid w:val="00527810"/>
    <w:rsid w:val="005305B4"/>
    <w:rsid w:val="005322AE"/>
    <w:rsid w:val="005333F8"/>
    <w:rsid w:val="00534C02"/>
    <w:rsid w:val="00536667"/>
    <w:rsid w:val="0054011D"/>
    <w:rsid w:val="00541F40"/>
    <w:rsid w:val="005420D2"/>
    <w:rsid w:val="0054264B"/>
    <w:rsid w:val="00542F5C"/>
    <w:rsid w:val="00543786"/>
    <w:rsid w:val="00543D46"/>
    <w:rsid w:val="00544AB7"/>
    <w:rsid w:val="00544C62"/>
    <w:rsid w:val="00544E3E"/>
    <w:rsid w:val="00545B5F"/>
    <w:rsid w:val="005460C3"/>
    <w:rsid w:val="00546308"/>
    <w:rsid w:val="0054771B"/>
    <w:rsid w:val="005533D7"/>
    <w:rsid w:val="00553545"/>
    <w:rsid w:val="0056336F"/>
    <w:rsid w:val="00564D0F"/>
    <w:rsid w:val="00565164"/>
    <w:rsid w:val="00566C2E"/>
    <w:rsid w:val="00567C1B"/>
    <w:rsid w:val="005703DE"/>
    <w:rsid w:val="0057154A"/>
    <w:rsid w:val="005715F6"/>
    <w:rsid w:val="005717B8"/>
    <w:rsid w:val="00572649"/>
    <w:rsid w:val="00576FFE"/>
    <w:rsid w:val="00577F7D"/>
    <w:rsid w:val="005817CB"/>
    <w:rsid w:val="0058308C"/>
    <w:rsid w:val="0058464E"/>
    <w:rsid w:val="0058533D"/>
    <w:rsid w:val="0058539C"/>
    <w:rsid w:val="0058640F"/>
    <w:rsid w:val="005864D7"/>
    <w:rsid w:val="00587769"/>
    <w:rsid w:val="0059179A"/>
    <w:rsid w:val="00593198"/>
    <w:rsid w:val="00593FA7"/>
    <w:rsid w:val="00594885"/>
    <w:rsid w:val="005948E1"/>
    <w:rsid w:val="00596DA1"/>
    <w:rsid w:val="00597125"/>
    <w:rsid w:val="0059781E"/>
    <w:rsid w:val="005A01CB"/>
    <w:rsid w:val="005A4A09"/>
    <w:rsid w:val="005A50B4"/>
    <w:rsid w:val="005A58FF"/>
    <w:rsid w:val="005A5EAF"/>
    <w:rsid w:val="005A64C0"/>
    <w:rsid w:val="005A6991"/>
    <w:rsid w:val="005B0ED1"/>
    <w:rsid w:val="005B16F5"/>
    <w:rsid w:val="005B1A67"/>
    <w:rsid w:val="005B3C11"/>
    <w:rsid w:val="005C064E"/>
    <w:rsid w:val="005C1C28"/>
    <w:rsid w:val="005C3535"/>
    <w:rsid w:val="005C6DB5"/>
    <w:rsid w:val="005C7C7F"/>
    <w:rsid w:val="005C7F4A"/>
    <w:rsid w:val="005D0023"/>
    <w:rsid w:val="005D1621"/>
    <w:rsid w:val="005D1E76"/>
    <w:rsid w:val="005D52B3"/>
    <w:rsid w:val="005D56A1"/>
    <w:rsid w:val="005D7029"/>
    <w:rsid w:val="005E19E7"/>
    <w:rsid w:val="005E3126"/>
    <w:rsid w:val="005E5498"/>
    <w:rsid w:val="005F4D42"/>
    <w:rsid w:val="005F52CE"/>
    <w:rsid w:val="005F6164"/>
    <w:rsid w:val="005F6183"/>
    <w:rsid w:val="005F6AB6"/>
    <w:rsid w:val="006004CB"/>
    <w:rsid w:val="006008B5"/>
    <w:rsid w:val="0060091B"/>
    <w:rsid w:val="00600E40"/>
    <w:rsid w:val="00601A56"/>
    <w:rsid w:val="0060226F"/>
    <w:rsid w:val="006028F6"/>
    <w:rsid w:val="00603DAC"/>
    <w:rsid w:val="00611A27"/>
    <w:rsid w:val="00611C0D"/>
    <w:rsid w:val="006148FC"/>
    <w:rsid w:val="0061716C"/>
    <w:rsid w:val="00617346"/>
    <w:rsid w:val="0061736C"/>
    <w:rsid w:val="00622750"/>
    <w:rsid w:val="006232AE"/>
    <w:rsid w:val="0062347F"/>
    <w:rsid w:val="006243A1"/>
    <w:rsid w:val="00624998"/>
    <w:rsid w:val="006256D2"/>
    <w:rsid w:val="00625C30"/>
    <w:rsid w:val="00626231"/>
    <w:rsid w:val="00626282"/>
    <w:rsid w:val="0063020E"/>
    <w:rsid w:val="0063063B"/>
    <w:rsid w:val="00631728"/>
    <w:rsid w:val="00632B04"/>
    <w:rsid w:val="00632E56"/>
    <w:rsid w:val="00633A0F"/>
    <w:rsid w:val="00633B65"/>
    <w:rsid w:val="006350E8"/>
    <w:rsid w:val="00635CBA"/>
    <w:rsid w:val="00635E23"/>
    <w:rsid w:val="00635F35"/>
    <w:rsid w:val="0063694D"/>
    <w:rsid w:val="00637304"/>
    <w:rsid w:val="00637D57"/>
    <w:rsid w:val="00641229"/>
    <w:rsid w:val="00641840"/>
    <w:rsid w:val="0064338B"/>
    <w:rsid w:val="006447BD"/>
    <w:rsid w:val="006460E4"/>
    <w:rsid w:val="00646542"/>
    <w:rsid w:val="006504F4"/>
    <w:rsid w:val="00651060"/>
    <w:rsid w:val="00654BC9"/>
    <w:rsid w:val="006552FD"/>
    <w:rsid w:val="00655562"/>
    <w:rsid w:val="00656886"/>
    <w:rsid w:val="006621AB"/>
    <w:rsid w:val="00663AF3"/>
    <w:rsid w:val="00663EEB"/>
    <w:rsid w:val="006641DA"/>
    <w:rsid w:val="00664206"/>
    <w:rsid w:val="0066670A"/>
    <w:rsid w:val="00666B6C"/>
    <w:rsid w:val="006705A5"/>
    <w:rsid w:val="006718B6"/>
    <w:rsid w:val="00681B6A"/>
    <w:rsid w:val="00681C15"/>
    <w:rsid w:val="00682411"/>
    <w:rsid w:val="00682682"/>
    <w:rsid w:val="00682702"/>
    <w:rsid w:val="00683544"/>
    <w:rsid w:val="006840C2"/>
    <w:rsid w:val="00685636"/>
    <w:rsid w:val="006902AB"/>
    <w:rsid w:val="00690760"/>
    <w:rsid w:val="00692368"/>
    <w:rsid w:val="006923EF"/>
    <w:rsid w:val="006950BC"/>
    <w:rsid w:val="006A0AF5"/>
    <w:rsid w:val="006A0B11"/>
    <w:rsid w:val="006A2EBC"/>
    <w:rsid w:val="006A5EA0"/>
    <w:rsid w:val="006A6354"/>
    <w:rsid w:val="006A783B"/>
    <w:rsid w:val="006A7B33"/>
    <w:rsid w:val="006B2534"/>
    <w:rsid w:val="006B2F26"/>
    <w:rsid w:val="006B3544"/>
    <w:rsid w:val="006B4E13"/>
    <w:rsid w:val="006B75DD"/>
    <w:rsid w:val="006B779B"/>
    <w:rsid w:val="006B7DD6"/>
    <w:rsid w:val="006C15C6"/>
    <w:rsid w:val="006C1B96"/>
    <w:rsid w:val="006C39EC"/>
    <w:rsid w:val="006C4B23"/>
    <w:rsid w:val="006C4B3D"/>
    <w:rsid w:val="006C5887"/>
    <w:rsid w:val="006C67E0"/>
    <w:rsid w:val="006C7ABA"/>
    <w:rsid w:val="006D0777"/>
    <w:rsid w:val="006D0D60"/>
    <w:rsid w:val="006D1122"/>
    <w:rsid w:val="006D131D"/>
    <w:rsid w:val="006D1659"/>
    <w:rsid w:val="006D2329"/>
    <w:rsid w:val="006D34C7"/>
    <w:rsid w:val="006D3C00"/>
    <w:rsid w:val="006D5B94"/>
    <w:rsid w:val="006D6426"/>
    <w:rsid w:val="006D713F"/>
    <w:rsid w:val="006E1A02"/>
    <w:rsid w:val="006E30B8"/>
    <w:rsid w:val="006E3675"/>
    <w:rsid w:val="006E3E31"/>
    <w:rsid w:val="006E4A7F"/>
    <w:rsid w:val="006E660B"/>
    <w:rsid w:val="006E7327"/>
    <w:rsid w:val="006F1D5F"/>
    <w:rsid w:val="006F2CD4"/>
    <w:rsid w:val="006F3642"/>
    <w:rsid w:val="006F517C"/>
    <w:rsid w:val="006F56DF"/>
    <w:rsid w:val="006F5751"/>
    <w:rsid w:val="006F72D8"/>
    <w:rsid w:val="00701BC5"/>
    <w:rsid w:val="00703489"/>
    <w:rsid w:val="00704DF6"/>
    <w:rsid w:val="00704FE1"/>
    <w:rsid w:val="007059B2"/>
    <w:rsid w:val="0070651C"/>
    <w:rsid w:val="0071106C"/>
    <w:rsid w:val="00711409"/>
    <w:rsid w:val="00711FD0"/>
    <w:rsid w:val="007132A3"/>
    <w:rsid w:val="007149D6"/>
    <w:rsid w:val="00715B20"/>
    <w:rsid w:val="00716421"/>
    <w:rsid w:val="0071667D"/>
    <w:rsid w:val="00717D2B"/>
    <w:rsid w:val="007204B9"/>
    <w:rsid w:val="007239C7"/>
    <w:rsid w:val="00724E12"/>
    <w:rsid w:val="00724EFB"/>
    <w:rsid w:val="00727252"/>
    <w:rsid w:val="00727310"/>
    <w:rsid w:val="007276D5"/>
    <w:rsid w:val="00727BAA"/>
    <w:rsid w:val="007304E1"/>
    <w:rsid w:val="00730DEA"/>
    <w:rsid w:val="0073279E"/>
    <w:rsid w:val="007337DE"/>
    <w:rsid w:val="00734412"/>
    <w:rsid w:val="00735F89"/>
    <w:rsid w:val="00736354"/>
    <w:rsid w:val="00736634"/>
    <w:rsid w:val="007369E8"/>
    <w:rsid w:val="00736F98"/>
    <w:rsid w:val="00737393"/>
    <w:rsid w:val="007408CA"/>
    <w:rsid w:val="007419C3"/>
    <w:rsid w:val="007419D0"/>
    <w:rsid w:val="00742957"/>
    <w:rsid w:val="00743DD9"/>
    <w:rsid w:val="00743EE6"/>
    <w:rsid w:val="00745D03"/>
    <w:rsid w:val="007467A7"/>
    <w:rsid w:val="007469DD"/>
    <w:rsid w:val="0074741B"/>
    <w:rsid w:val="0074759E"/>
    <w:rsid w:val="007478EA"/>
    <w:rsid w:val="00750305"/>
    <w:rsid w:val="00752510"/>
    <w:rsid w:val="0075415C"/>
    <w:rsid w:val="00763502"/>
    <w:rsid w:val="007636CA"/>
    <w:rsid w:val="0076584A"/>
    <w:rsid w:val="00770E5B"/>
    <w:rsid w:val="007719E5"/>
    <w:rsid w:val="00771C81"/>
    <w:rsid w:val="00772329"/>
    <w:rsid w:val="00775B78"/>
    <w:rsid w:val="00776952"/>
    <w:rsid w:val="00776C36"/>
    <w:rsid w:val="00776D07"/>
    <w:rsid w:val="007770B0"/>
    <w:rsid w:val="0078154E"/>
    <w:rsid w:val="00783200"/>
    <w:rsid w:val="00783291"/>
    <w:rsid w:val="00784BB1"/>
    <w:rsid w:val="007857AC"/>
    <w:rsid w:val="007869BB"/>
    <w:rsid w:val="00787F5B"/>
    <w:rsid w:val="007913AB"/>
    <w:rsid w:val="007914F7"/>
    <w:rsid w:val="00791F18"/>
    <w:rsid w:val="0079543B"/>
    <w:rsid w:val="00797267"/>
    <w:rsid w:val="007A0EAD"/>
    <w:rsid w:val="007A2FCE"/>
    <w:rsid w:val="007A3CF3"/>
    <w:rsid w:val="007A5094"/>
    <w:rsid w:val="007A7F14"/>
    <w:rsid w:val="007B0C4C"/>
    <w:rsid w:val="007B1625"/>
    <w:rsid w:val="007B3DC1"/>
    <w:rsid w:val="007B6741"/>
    <w:rsid w:val="007B6EA1"/>
    <w:rsid w:val="007B706E"/>
    <w:rsid w:val="007B71EB"/>
    <w:rsid w:val="007B7BD3"/>
    <w:rsid w:val="007C08B5"/>
    <w:rsid w:val="007C1BA5"/>
    <w:rsid w:val="007C57C4"/>
    <w:rsid w:val="007C57E7"/>
    <w:rsid w:val="007C6205"/>
    <w:rsid w:val="007C686A"/>
    <w:rsid w:val="007C728E"/>
    <w:rsid w:val="007C7717"/>
    <w:rsid w:val="007D12C2"/>
    <w:rsid w:val="007D2500"/>
    <w:rsid w:val="007D2C53"/>
    <w:rsid w:val="007D3D60"/>
    <w:rsid w:val="007D41EE"/>
    <w:rsid w:val="007D645A"/>
    <w:rsid w:val="007E1980"/>
    <w:rsid w:val="007E1BD7"/>
    <w:rsid w:val="007E1DBB"/>
    <w:rsid w:val="007E3201"/>
    <w:rsid w:val="007E4B76"/>
    <w:rsid w:val="007E5EA8"/>
    <w:rsid w:val="007F0CF1"/>
    <w:rsid w:val="007F0F81"/>
    <w:rsid w:val="007F1230"/>
    <w:rsid w:val="007F12A5"/>
    <w:rsid w:val="007F164C"/>
    <w:rsid w:val="007F235B"/>
    <w:rsid w:val="007F2989"/>
    <w:rsid w:val="007F384E"/>
    <w:rsid w:val="007F4CF1"/>
    <w:rsid w:val="007F6702"/>
    <w:rsid w:val="007F6D11"/>
    <w:rsid w:val="007F758D"/>
    <w:rsid w:val="007F7D52"/>
    <w:rsid w:val="0080066F"/>
    <w:rsid w:val="00802E53"/>
    <w:rsid w:val="00805B1B"/>
    <w:rsid w:val="0080654C"/>
    <w:rsid w:val="00806DEA"/>
    <w:rsid w:val="008071C6"/>
    <w:rsid w:val="00807994"/>
    <w:rsid w:val="00811117"/>
    <w:rsid w:val="00817A00"/>
    <w:rsid w:val="00821A05"/>
    <w:rsid w:val="0082270D"/>
    <w:rsid w:val="008248BF"/>
    <w:rsid w:val="0082631B"/>
    <w:rsid w:val="00835DB3"/>
    <w:rsid w:val="0083617B"/>
    <w:rsid w:val="008367B6"/>
    <w:rsid w:val="008371BD"/>
    <w:rsid w:val="00843CED"/>
    <w:rsid w:val="00846B54"/>
    <w:rsid w:val="008504A8"/>
    <w:rsid w:val="0085282E"/>
    <w:rsid w:val="008541E3"/>
    <w:rsid w:val="008549A2"/>
    <w:rsid w:val="00855594"/>
    <w:rsid w:val="00855BF5"/>
    <w:rsid w:val="00857690"/>
    <w:rsid w:val="00860AD1"/>
    <w:rsid w:val="008611F4"/>
    <w:rsid w:val="00863827"/>
    <w:rsid w:val="00867341"/>
    <w:rsid w:val="008673EF"/>
    <w:rsid w:val="0087198C"/>
    <w:rsid w:val="00871B48"/>
    <w:rsid w:val="00872C1F"/>
    <w:rsid w:val="00872FF6"/>
    <w:rsid w:val="00873B42"/>
    <w:rsid w:val="00874D83"/>
    <w:rsid w:val="008753AB"/>
    <w:rsid w:val="008763EE"/>
    <w:rsid w:val="008773D8"/>
    <w:rsid w:val="00880CB9"/>
    <w:rsid w:val="0088415A"/>
    <w:rsid w:val="008848D7"/>
    <w:rsid w:val="008856D8"/>
    <w:rsid w:val="008929E0"/>
    <w:rsid w:val="00892E82"/>
    <w:rsid w:val="00893301"/>
    <w:rsid w:val="00893549"/>
    <w:rsid w:val="008972F5"/>
    <w:rsid w:val="008A0272"/>
    <w:rsid w:val="008A0706"/>
    <w:rsid w:val="008A224F"/>
    <w:rsid w:val="008A37BF"/>
    <w:rsid w:val="008A386D"/>
    <w:rsid w:val="008A4399"/>
    <w:rsid w:val="008A53C8"/>
    <w:rsid w:val="008A5668"/>
    <w:rsid w:val="008A5DAA"/>
    <w:rsid w:val="008B6CFF"/>
    <w:rsid w:val="008B7AB2"/>
    <w:rsid w:val="008B7CE9"/>
    <w:rsid w:val="008C0DFD"/>
    <w:rsid w:val="008C1B58"/>
    <w:rsid w:val="008C2483"/>
    <w:rsid w:val="008C2E60"/>
    <w:rsid w:val="008C39AE"/>
    <w:rsid w:val="008C3AF5"/>
    <w:rsid w:val="008C42BA"/>
    <w:rsid w:val="008C4A19"/>
    <w:rsid w:val="008C590D"/>
    <w:rsid w:val="008C67E8"/>
    <w:rsid w:val="008D03E8"/>
    <w:rsid w:val="008D3177"/>
    <w:rsid w:val="008D3E97"/>
    <w:rsid w:val="008D53B1"/>
    <w:rsid w:val="008D5C92"/>
    <w:rsid w:val="008D67F0"/>
    <w:rsid w:val="008E031B"/>
    <w:rsid w:val="008E043B"/>
    <w:rsid w:val="008E232C"/>
    <w:rsid w:val="008E25A1"/>
    <w:rsid w:val="008E3EBB"/>
    <w:rsid w:val="008E41F4"/>
    <w:rsid w:val="008E49DE"/>
    <w:rsid w:val="008E7029"/>
    <w:rsid w:val="008E7EF6"/>
    <w:rsid w:val="008F1130"/>
    <w:rsid w:val="008F1C51"/>
    <w:rsid w:val="008F1F98"/>
    <w:rsid w:val="008F259F"/>
    <w:rsid w:val="008F32E9"/>
    <w:rsid w:val="008F395F"/>
    <w:rsid w:val="008F4A72"/>
    <w:rsid w:val="008F6758"/>
    <w:rsid w:val="009040DD"/>
    <w:rsid w:val="00905B47"/>
    <w:rsid w:val="00906527"/>
    <w:rsid w:val="00906A00"/>
    <w:rsid w:val="0090785B"/>
    <w:rsid w:val="00910B49"/>
    <w:rsid w:val="0091331C"/>
    <w:rsid w:val="0092025F"/>
    <w:rsid w:val="00920DD5"/>
    <w:rsid w:val="00921872"/>
    <w:rsid w:val="00921894"/>
    <w:rsid w:val="009259A6"/>
    <w:rsid w:val="00925FE3"/>
    <w:rsid w:val="00926BAD"/>
    <w:rsid w:val="00927571"/>
    <w:rsid w:val="009275CD"/>
    <w:rsid w:val="009279DE"/>
    <w:rsid w:val="00930116"/>
    <w:rsid w:val="00932569"/>
    <w:rsid w:val="00936096"/>
    <w:rsid w:val="0094212C"/>
    <w:rsid w:val="00947055"/>
    <w:rsid w:val="009470F7"/>
    <w:rsid w:val="009471AA"/>
    <w:rsid w:val="00947628"/>
    <w:rsid w:val="009478F3"/>
    <w:rsid w:val="00953740"/>
    <w:rsid w:val="00953BFA"/>
    <w:rsid w:val="00954689"/>
    <w:rsid w:val="00955282"/>
    <w:rsid w:val="00955B08"/>
    <w:rsid w:val="00957F86"/>
    <w:rsid w:val="009617C9"/>
    <w:rsid w:val="009617F4"/>
    <w:rsid w:val="00961C93"/>
    <w:rsid w:val="00963320"/>
    <w:rsid w:val="00965324"/>
    <w:rsid w:val="0097091E"/>
    <w:rsid w:val="009760D3"/>
    <w:rsid w:val="00977132"/>
    <w:rsid w:val="00980F7E"/>
    <w:rsid w:val="00981A4B"/>
    <w:rsid w:val="00982501"/>
    <w:rsid w:val="00983040"/>
    <w:rsid w:val="0098341A"/>
    <w:rsid w:val="009841B8"/>
    <w:rsid w:val="0098432E"/>
    <w:rsid w:val="009877D3"/>
    <w:rsid w:val="00990AAF"/>
    <w:rsid w:val="00992595"/>
    <w:rsid w:val="009946AF"/>
    <w:rsid w:val="00994E8F"/>
    <w:rsid w:val="009951DC"/>
    <w:rsid w:val="009959BB"/>
    <w:rsid w:val="00995D4A"/>
    <w:rsid w:val="00995F21"/>
    <w:rsid w:val="0099639C"/>
    <w:rsid w:val="00997158"/>
    <w:rsid w:val="009A2297"/>
    <w:rsid w:val="009A2448"/>
    <w:rsid w:val="009A2AD6"/>
    <w:rsid w:val="009A2F9D"/>
    <w:rsid w:val="009A343D"/>
    <w:rsid w:val="009A3769"/>
    <w:rsid w:val="009A3A7C"/>
    <w:rsid w:val="009A3F51"/>
    <w:rsid w:val="009A4748"/>
    <w:rsid w:val="009B0137"/>
    <w:rsid w:val="009B1F41"/>
    <w:rsid w:val="009B2ADB"/>
    <w:rsid w:val="009B32CC"/>
    <w:rsid w:val="009B603A"/>
    <w:rsid w:val="009B6891"/>
    <w:rsid w:val="009C19C6"/>
    <w:rsid w:val="009C2D0E"/>
    <w:rsid w:val="009C3DAC"/>
    <w:rsid w:val="009C42E0"/>
    <w:rsid w:val="009C4FAF"/>
    <w:rsid w:val="009C5197"/>
    <w:rsid w:val="009C57A0"/>
    <w:rsid w:val="009C69C9"/>
    <w:rsid w:val="009D45C5"/>
    <w:rsid w:val="009D534D"/>
    <w:rsid w:val="009D5362"/>
    <w:rsid w:val="009D559A"/>
    <w:rsid w:val="009D67D7"/>
    <w:rsid w:val="009E1415"/>
    <w:rsid w:val="009E19BC"/>
    <w:rsid w:val="009E1DF4"/>
    <w:rsid w:val="009E35BE"/>
    <w:rsid w:val="009E40E2"/>
    <w:rsid w:val="009E6116"/>
    <w:rsid w:val="009E7C96"/>
    <w:rsid w:val="009E7D60"/>
    <w:rsid w:val="009F02A4"/>
    <w:rsid w:val="009F06C9"/>
    <w:rsid w:val="009F29DD"/>
    <w:rsid w:val="009F3748"/>
    <w:rsid w:val="009F5A97"/>
    <w:rsid w:val="00A017FF"/>
    <w:rsid w:val="00A028DD"/>
    <w:rsid w:val="00A02E43"/>
    <w:rsid w:val="00A03717"/>
    <w:rsid w:val="00A049F0"/>
    <w:rsid w:val="00A065F9"/>
    <w:rsid w:val="00A07F34"/>
    <w:rsid w:val="00A10B3B"/>
    <w:rsid w:val="00A117FA"/>
    <w:rsid w:val="00A16879"/>
    <w:rsid w:val="00A1713D"/>
    <w:rsid w:val="00A17DEB"/>
    <w:rsid w:val="00A2031B"/>
    <w:rsid w:val="00A20641"/>
    <w:rsid w:val="00A21080"/>
    <w:rsid w:val="00A213EC"/>
    <w:rsid w:val="00A219BF"/>
    <w:rsid w:val="00A22154"/>
    <w:rsid w:val="00A2326A"/>
    <w:rsid w:val="00A237E2"/>
    <w:rsid w:val="00A25C38"/>
    <w:rsid w:val="00A30C0C"/>
    <w:rsid w:val="00A317B2"/>
    <w:rsid w:val="00A3527C"/>
    <w:rsid w:val="00A35CB5"/>
    <w:rsid w:val="00A36960"/>
    <w:rsid w:val="00A36BBE"/>
    <w:rsid w:val="00A37212"/>
    <w:rsid w:val="00A411C0"/>
    <w:rsid w:val="00A41379"/>
    <w:rsid w:val="00A4307A"/>
    <w:rsid w:val="00A4354B"/>
    <w:rsid w:val="00A43763"/>
    <w:rsid w:val="00A4430A"/>
    <w:rsid w:val="00A44357"/>
    <w:rsid w:val="00A44549"/>
    <w:rsid w:val="00A44AEF"/>
    <w:rsid w:val="00A4697B"/>
    <w:rsid w:val="00A47EBB"/>
    <w:rsid w:val="00A51095"/>
    <w:rsid w:val="00A51CDD"/>
    <w:rsid w:val="00A51DEB"/>
    <w:rsid w:val="00A52DE0"/>
    <w:rsid w:val="00A554C9"/>
    <w:rsid w:val="00A567FD"/>
    <w:rsid w:val="00A5721D"/>
    <w:rsid w:val="00A63C81"/>
    <w:rsid w:val="00A6730D"/>
    <w:rsid w:val="00A673B3"/>
    <w:rsid w:val="00A705E5"/>
    <w:rsid w:val="00A70634"/>
    <w:rsid w:val="00A706A0"/>
    <w:rsid w:val="00A71625"/>
    <w:rsid w:val="00A71B9B"/>
    <w:rsid w:val="00A72E3B"/>
    <w:rsid w:val="00A73425"/>
    <w:rsid w:val="00A73877"/>
    <w:rsid w:val="00A751AB"/>
    <w:rsid w:val="00A751C7"/>
    <w:rsid w:val="00A77C5B"/>
    <w:rsid w:val="00A819E1"/>
    <w:rsid w:val="00A81CB1"/>
    <w:rsid w:val="00A86CB0"/>
    <w:rsid w:val="00A87844"/>
    <w:rsid w:val="00A90A10"/>
    <w:rsid w:val="00A927D2"/>
    <w:rsid w:val="00A93320"/>
    <w:rsid w:val="00A95F8E"/>
    <w:rsid w:val="00A966DC"/>
    <w:rsid w:val="00A9727F"/>
    <w:rsid w:val="00AA0008"/>
    <w:rsid w:val="00AA038C"/>
    <w:rsid w:val="00AA0B18"/>
    <w:rsid w:val="00AA0D42"/>
    <w:rsid w:val="00AA1D42"/>
    <w:rsid w:val="00AA27F8"/>
    <w:rsid w:val="00AA4A58"/>
    <w:rsid w:val="00AA5719"/>
    <w:rsid w:val="00AA68B8"/>
    <w:rsid w:val="00AA7A09"/>
    <w:rsid w:val="00AB0474"/>
    <w:rsid w:val="00AB09A8"/>
    <w:rsid w:val="00AB1313"/>
    <w:rsid w:val="00AB3B50"/>
    <w:rsid w:val="00AB421D"/>
    <w:rsid w:val="00AB4F96"/>
    <w:rsid w:val="00AC05B1"/>
    <w:rsid w:val="00AC46C5"/>
    <w:rsid w:val="00AC4CCE"/>
    <w:rsid w:val="00AC7DD6"/>
    <w:rsid w:val="00AD05DE"/>
    <w:rsid w:val="00AD356C"/>
    <w:rsid w:val="00AD3EA3"/>
    <w:rsid w:val="00AD3FCF"/>
    <w:rsid w:val="00AD56A3"/>
    <w:rsid w:val="00AD5B0D"/>
    <w:rsid w:val="00AD60A2"/>
    <w:rsid w:val="00AD65ED"/>
    <w:rsid w:val="00AD7798"/>
    <w:rsid w:val="00AE1576"/>
    <w:rsid w:val="00AE1D84"/>
    <w:rsid w:val="00AE2914"/>
    <w:rsid w:val="00AE31CC"/>
    <w:rsid w:val="00AE6D15"/>
    <w:rsid w:val="00AF0979"/>
    <w:rsid w:val="00AF09A0"/>
    <w:rsid w:val="00AF254A"/>
    <w:rsid w:val="00AF2F12"/>
    <w:rsid w:val="00AF2F71"/>
    <w:rsid w:val="00AF5D23"/>
    <w:rsid w:val="00AF6818"/>
    <w:rsid w:val="00AF7DEB"/>
    <w:rsid w:val="00AF7E70"/>
    <w:rsid w:val="00B0104F"/>
    <w:rsid w:val="00B04016"/>
    <w:rsid w:val="00B04073"/>
    <w:rsid w:val="00B04182"/>
    <w:rsid w:val="00B071A5"/>
    <w:rsid w:val="00B0759B"/>
    <w:rsid w:val="00B07AE3"/>
    <w:rsid w:val="00B11430"/>
    <w:rsid w:val="00B11A9F"/>
    <w:rsid w:val="00B121BA"/>
    <w:rsid w:val="00B1417E"/>
    <w:rsid w:val="00B16C9A"/>
    <w:rsid w:val="00B177D5"/>
    <w:rsid w:val="00B22A26"/>
    <w:rsid w:val="00B318FB"/>
    <w:rsid w:val="00B34216"/>
    <w:rsid w:val="00B352BF"/>
    <w:rsid w:val="00B353EB"/>
    <w:rsid w:val="00B3780F"/>
    <w:rsid w:val="00B37F4C"/>
    <w:rsid w:val="00B41520"/>
    <w:rsid w:val="00B4221B"/>
    <w:rsid w:val="00B42FC4"/>
    <w:rsid w:val="00B439C4"/>
    <w:rsid w:val="00B4535E"/>
    <w:rsid w:val="00B45F6C"/>
    <w:rsid w:val="00B46304"/>
    <w:rsid w:val="00B47CC4"/>
    <w:rsid w:val="00B50FC0"/>
    <w:rsid w:val="00B528E6"/>
    <w:rsid w:val="00B52A8C"/>
    <w:rsid w:val="00B53799"/>
    <w:rsid w:val="00B54935"/>
    <w:rsid w:val="00B55B13"/>
    <w:rsid w:val="00B56694"/>
    <w:rsid w:val="00B56D4D"/>
    <w:rsid w:val="00B572E4"/>
    <w:rsid w:val="00B62197"/>
    <w:rsid w:val="00B62290"/>
    <w:rsid w:val="00B623C5"/>
    <w:rsid w:val="00B636A8"/>
    <w:rsid w:val="00B63964"/>
    <w:rsid w:val="00B65EEE"/>
    <w:rsid w:val="00B665C6"/>
    <w:rsid w:val="00B677FA"/>
    <w:rsid w:val="00B714A1"/>
    <w:rsid w:val="00B71928"/>
    <w:rsid w:val="00B71A0C"/>
    <w:rsid w:val="00B75D52"/>
    <w:rsid w:val="00B75E60"/>
    <w:rsid w:val="00B805AF"/>
    <w:rsid w:val="00B80904"/>
    <w:rsid w:val="00B80AF5"/>
    <w:rsid w:val="00B811C9"/>
    <w:rsid w:val="00B838B3"/>
    <w:rsid w:val="00B849A9"/>
    <w:rsid w:val="00B85533"/>
    <w:rsid w:val="00B86242"/>
    <w:rsid w:val="00B869EC"/>
    <w:rsid w:val="00B90286"/>
    <w:rsid w:val="00B90323"/>
    <w:rsid w:val="00B9397A"/>
    <w:rsid w:val="00B93AE8"/>
    <w:rsid w:val="00B943A0"/>
    <w:rsid w:val="00B9633D"/>
    <w:rsid w:val="00BA2EBE"/>
    <w:rsid w:val="00BA392C"/>
    <w:rsid w:val="00BA3B16"/>
    <w:rsid w:val="00BA50C0"/>
    <w:rsid w:val="00BB0F28"/>
    <w:rsid w:val="00BB1AF3"/>
    <w:rsid w:val="00BB35A7"/>
    <w:rsid w:val="00BB387B"/>
    <w:rsid w:val="00BB3CF2"/>
    <w:rsid w:val="00BB458A"/>
    <w:rsid w:val="00BB5460"/>
    <w:rsid w:val="00BB5A2F"/>
    <w:rsid w:val="00BB6C0E"/>
    <w:rsid w:val="00BB7748"/>
    <w:rsid w:val="00BC0CCE"/>
    <w:rsid w:val="00BC121B"/>
    <w:rsid w:val="00BC2575"/>
    <w:rsid w:val="00BC3E3B"/>
    <w:rsid w:val="00BC484D"/>
    <w:rsid w:val="00BC602B"/>
    <w:rsid w:val="00BC7B35"/>
    <w:rsid w:val="00BD00D3"/>
    <w:rsid w:val="00BD0828"/>
    <w:rsid w:val="00BD0E67"/>
    <w:rsid w:val="00BD1659"/>
    <w:rsid w:val="00BD3497"/>
    <w:rsid w:val="00BD3AA9"/>
    <w:rsid w:val="00BD44BB"/>
    <w:rsid w:val="00BD4A18"/>
    <w:rsid w:val="00BD57D8"/>
    <w:rsid w:val="00BD5A52"/>
    <w:rsid w:val="00BD6DB2"/>
    <w:rsid w:val="00BE05F6"/>
    <w:rsid w:val="00BE06EC"/>
    <w:rsid w:val="00BE07FF"/>
    <w:rsid w:val="00BE11CF"/>
    <w:rsid w:val="00BE21AB"/>
    <w:rsid w:val="00BE55BB"/>
    <w:rsid w:val="00BE55CB"/>
    <w:rsid w:val="00BE71F4"/>
    <w:rsid w:val="00BF101D"/>
    <w:rsid w:val="00BF1888"/>
    <w:rsid w:val="00BF1B6E"/>
    <w:rsid w:val="00BF4DD6"/>
    <w:rsid w:val="00BF58D5"/>
    <w:rsid w:val="00BF6163"/>
    <w:rsid w:val="00BF617A"/>
    <w:rsid w:val="00BF7670"/>
    <w:rsid w:val="00C00BAD"/>
    <w:rsid w:val="00C01305"/>
    <w:rsid w:val="00C02634"/>
    <w:rsid w:val="00C0379D"/>
    <w:rsid w:val="00C03931"/>
    <w:rsid w:val="00C04951"/>
    <w:rsid w:val="00C05FE3"/>
    <w:rsid w:val="00C062F9"/>
    <w:rsid w:val="00C11F72"/>
    <w:rsid w:val="00C2136D"/>
    <w:rsid w:val="00C214EE"/>
    <w:rsid w:val="00C21EDD"/>
    <w:rsid w:val="00C2314B"/>
    <w:rsid w:val="00C24971"/>
    <w:rsid w:val="00C26BE5"/>
    <w:rsid w:val="00C26E4D"/>
    <w:rsid w:val="00C27909"/>
    <w:rsid w:val="00C27B03"/>
    <w:rsid w:val="00C314E1"/>
    <w:rsid w:val="00C32BA6"/>
    <w:rsid w:val="00C3414C"/>
    <w:rsid w:val="00C34397"/>
    <w:rsid w:val="00C37BA9"/>
    <w:rsid w:val="00C4095D"/>
    <w:rsid w:val="00C409E8"/>
    <w:rsid w:val="00C4102D"/>
    <w:rsid w:val="00C45AAA"/>
    <w:rsid w:val="00C4662E"/>
    <w:rsid w:val="00C472B5"/>
    <w:rsid w:val="00C50478"/>
    <w:rsid w:val="00C51602"/>
    <w:rsid w:val="00C52926"/>
    <w:rsid w:val="00C532C9"/>
    <w:rsid w:val="00C5407E"/>
    <w:rsid w:val="00C54484"/>
    <w:rsid w:val="00C54DE1"/>
    <w:rsid w:val="00C57037"/>
    <w:rsid w:val="00C601D2"/>
    <w:rsid w:val="00C6033A"/>
    <w:rsid w:val="00C63968"/>
    <w:rsid w:val="00C6426C"/>
    <w:rsid w:val="00C646A4"/>
    <w:rsid w:val="00C64CA6"/>
    <w:rsid w:val="00C657AB"/>
    <w:rsid w:val="00C65BCC"/>
    <w:rsid w:val="00C663C1"/>
    <w:rsid w:val="00C66738"/>
    <w:rsid w:val="00C66970"/>
    <w:rsid w:val="00C66971"/>
    <w:rsid w:val="00C742F4"/>
    <w:rsid w:val="00C749B9"/>
    <w:rsid w:val="00C75475"/>
    <w:rsid w:val="00C75C24"/>
    <w:rsid w:val="00C776C1"/>
    <w:rsid w:val="00C80301"/>
    <w:rsid w:val="00C819CB"/>
    <w:rsid w:val="00C842B4"/>
    <w:rsid w:val="00C8691C"/>
    <w:rsid w:val="00C86F9E"/>
    <w:rsid w:val="00C90C50"/>
    <w:rsid w:val="00C9300B"/>
    <w:rsid w:val="00C955F0"/>
    <w:rsid w:val="00C95AD3"/>
    <w:rsid w:val="00CA168A"/>
    <w:rsid w:val="00CA357E"/>
    <w:rsid w:val="00CA44F9"/>
    <w:rsid w:val="00CA46DB"/>
    <w:rsid w:val="00CA4A69"/>
    <w:rsid w:val="00CA522E"/>
    <w:rsid w:val="00CB047C"/>
    <w:rsid w:val="00CB05E1"/>
    <w:rsid w:val="00CB13DD"/>
    <w:rsid w:val="00CB2273"/>
    <w:rsid w:val="00CB24EB"/>
    <w:rsid w:val="00CB363A"/>
    <w:rsid w:val="00CB3719"/>
    <w:rsid w:val="00CB4197"/>
    <w:rsid w:val="00CB6B64"/>
    <w:rsid w:val="00CC05EA"/>
    <w:rsid w:val="00CC06EB"/>
    <w:rsid w:val="00CC0703"/>
    <w:rsid w:val="00CC1385"/>
    <w:rsid w:val="00CC2955"/>
    <w:rsid w:val="00CC2AB2"/>
    <w:rsid w:val="00CC2F89"/>
    <w:rsid w:val="00CC38FA"/>
    <w:rsid w:val="00CC3E0C"/>
    <w:rsid w:val="00CC58D3"/>
    <w:rsid w:val="00CC635B"/>
    <w:rsid w:val="00CC6A0C"/>
    <w:rsid w:val="00CC784D"/>
    <w:rsid w:val="00CC7D8A"/>
    <w:rsid w:val="00CD2B09"/>
    <w:rsid w:val="00CD4114"/>
    <w:rsid w:val="00CD4D82"/>
    <w:rsid w:val="00CD56B4"/>
    <w:rsid w:val="00CD7560"/>
    <w:rsid w:val="00CE0053"/>
    <w:rsid w:val="00CE01BC"/>
    <w:rsid w:val="00CE49ED"/>
    <w:rsid w:val="00CE4A97"/>
    <w:rsid w:val="00CE69D7"/>
    <w:rsid w:val="00CF0A20"/>
    <w:rsid w:val="00CF3398"/>
    <w:rsid w:val="00CF358B"/>
    <w:rsid w:val="00CF429E"/>
    <w:rsid w:val="00CF42CB"/>
    <w:rsid w:val="00CF6DE1"/>
    <w:rsid w:val="00D0337B"/>
    <w:rsid w:val="00D04E6A"/>
    <w:rsid w:val="00D05A0D"/>
    <w:rsid w:val="00D066A2"/>
    <w:rsid w:val="00D079B2"/>
    <w:rsid w:val="00D07D86"/>
    <w:rsid w:val="00D11126"/>
    <w:rsid w:val="00D114E9"/>
    <w:rsid w:val="00D14CF3"/>
    <w:rsid w:val="00D21495"/>
    <w:rsid w:val="00D3012F"/>
    <w:rsid w:val="00D32605"/>
    <w:rsid w:val="00D32BEE"/>
    <w:rsid w:val="00D33508"/>
    <w:rsid w:val="00D345A5"/>
    <w:rsid w:val="00D3544C"/>
    <w:rsid w:val="00D36D3B"/>
    <w:rsid w:val="00D37806"/>
    <w:rsid w:val="00D418A6"/>
    <w:rsid w:val="00D429C6"/>
    <w:rsid w:val="00D446C5"/>
    <w:rsid w:val="00D446F1"/>
    <w:rsid w:val="00D44C82"/>
    <w:rsid w:val="00D466F8"/>
    <w:rsid w:val="00D47748"/>
    <w:rsid w:val="00D53882"/>
    <w:rsid w:val="00D54CC3"/>
    <w:rsid w:val="00D552D0"/>
    <w:rsid w:val="00D560BB"/>
    <w:rsid w:val="00D56B2B"/>
    <w:rsid w:val="00D6041A"/>
    <w:rsid w:val="00D6083C"/>
    <w:rsid w:val="00D60ED8"/>
    <w:rsid w:val="00D62122"/>
    <w:rsid w:val="00D633EB"/>
    <w:rsid w:val="00D64F36"/>
    <w:rsid w:val="00D650A3"/>
    <w:rsid w:val="00D707F9"/>
    <w:rsid w:val="00D70F9B"/>
    <w:rsid w:val="00D71EC5"/>
    <w:rsid w:val="00D72075"/>
    <w:rsid w:val="00D747BF"/>
    <w:rsid w:val="00D74893"/>
    <w:rsid w:val="00D77C82"/>
    <w:rsid w:val="00D82FF7"/>
    <w:rsid w:val="00D847FE"/>
    <w:rsid w:val="00D86597"/>
    <w:rsid w:val="00D86D7C"/>
    <w:rsid w:val="00D9157E"/>
    <w:rsid w:val="00D961E2"/>
    <w:rsid w:val="00D964EA"/>
    <w:rsid w:val="00D966D0"/>
    <w:rsid w:val="00D96774"/>
    <w:rsid w:val="00D96C70"/>
    <w:rsid w:val="00DA035A"/>
    <w:rsid w:val="00DA0A4D"/>
    <w:rsid w:val="00DA0C59"/>
    <w:rsid w:val="00DA2B28"/>
    <w:rsid w:val="00DA3991"/>
    <w:rsid w:val="00DA3A93"/>
    <w:rsid w:val="00DA7AC2"/>
    <w:rsid w:val="00DA7E3C"/>
    <w:rsid w:val="00DB1863"/>
    <w:rsid w:val="00DB3F84"/>
    <w:rsid w:val="00DB43AC"/>
    <w:rsid w:val="00DB574C"/>
    <w:rsid w:val="00DB5F31"/>
    <w:rsid w:val="00DB62EE"/>
    <w:rsid w:val="00DB6863"/>
    <w:rsid w:val="00DB7E6C"/>
    <w:rsid w:val="00DC7A63"/>
    <w:rsid w:val="00DD07EB"/>
    <w:rsid w:val="00DD10CB"/>
    <w:rsid w:val="00DD17D4"/>
    <w:rsid w:val="00DD1960"/>
    <w:rsid w:val="00DD2A4A"/>
    <w:rsid w:val="00DD5A29"/>
    <w:rsid w:val="00DD5D9D"/>
    <w:rsid w:val="00DD6A33"/>
    <w:rsid w:val="00DE0F8C"/>
    <w:rsid w:val="00DE2C6C"/>
    <w:rsid w:val="00DE32EB"/>
    <w:rsid w:val="00DE35CB"/>
    <w:rsid w:val="00DE4D54"/>
    <w:rsid w:val="00DF04D5"/>
    <w:rsid w:val="00DF056C"/>
    <w:rsid w:val="00DF1034"/>
    <w:rsid w:val="00DF11D6"/>
    <w:rsid w:val="00DF2079"/>
    <w:rsid w:val="00DF21E9"/>
    <w:rsid w:val="00DF3A2A"/>
    <w:rsid w:val="00DF51FE"/>
    <w:rsid w:val="00DF5981"/>
    <w:rsid w:val="00DF678D"/>
    <w:rsid w:val="00DF75C6"/>
    <w:rsid w:val="00E00C11"/>
    <w:rsid w:val="00E00F14"/>
    <w:rsid w:val="00E033FC"/>
    <w:rsid w:val="00E042D5"/>
    <w:rsid w:val="00E0499A"/>
    <w:rsid w:val="00E049D5"/>
    <w:rsid w:val="00E06386"/>
    <w:rsid w:val="00E063A5"/>
    <w:rsid w:val="00E0706A"/>
    <w:rsid w:val="00E073A3"/>
    <w:rsid w:val="00E12916"/>
    <w:rsid w:val="00E162C9"/>
    <w:rsid w:val="00E20083"/>
    <w:rsid w:val="00E209EC"/>
    <w:rsid w:val="00E21F96"/>
    <w:rsid w:val="00E24EB4"/>
    <w:rsid w:val="00E25272"/>
    <w:rsid w:val="00E320ED"/>
    <w:rsid w:val="00E32679"/>
    <w:rsid w:val="00E33AFB"/>
    <w:rsid w:val="00E34218"/>
    <w:rsid w:val="00E361F3"/>
    <w:rsid w:val="00E41868"/>
    <w:rsid w:val="00E43242"/>
    <w:rsid w:val="00E43DD6"/>
    <w:rsid w:val="00E46282"/>
    <w:rsid w:val="00E5216E"/>
    <w:rsid w:val="00E5243C"/>
    <w:rsid w:val="00E526CB"/>
    <w:rsid w:val="00E52CD9"/>
    <w:rsid w:val="00E5316D"/>
    <w:rsid w:val="00E557CF"/>
    <w:rsid w:val="00E569A2"/>
    <w:rsid w:val="00E56AE0"/>
    <w:rsid w:val="00E57956"/>
    <w:rsid w:val="00E57BE1"/>
    <w:rsid w:val="00E6117D"/>
    <w:rsid w:val="00E62536"/>
    <w:rsid w:val="00E63E60"/>
    <w:rsid w:val="00E63ED8"/>
    <w:rsid w:val="00E66F1D"/>
    <w:rsid w:val="00E67FCD"/>
    <w:rsid w:val="00E74278"/>
    <w:rsid w:val="00E74988"/>
    <w:rsid w:val="00E759BC"/>
    <w:rsid w:val="00E76217"/>
    <w:rsid w:val="00E76642"/>
    <w:rsid w:val="00E7688F"/>
    <w:rsid w:val="00E76A1C"/>
    <w:rsid w:val="00E77200"/>
    <w:rsid w:val="00E772AF"/>
    <w:rsid w:val="00E77972"/>
    <w:rsid w:val="00E77BBA"/>
    <w:rsid w:val="00E801D9"/>
    <w:rsid w:val="00E809B1"/>
    <w:rsid w:val="00E82344"/>
    <w:rsid w:val="00E8298B"/>
    <w:rsid w:val="00E82A61"/>
    <w:rsid w:val="00E82F82"/>
    <w:rsid w:val="00E8342A"/>
    <w:rsid w:val="00E841B8"/>
    <w:rsid w:val="00E84C82"/>
    <w:rsid w:val="00E84D64"/>
    <w:rsid w:val="00E84FF3"/>
    <w:rsid w:val="00E85F68"/>
    <w:rsid w:val="00E87408"/>
    <w:rsid w:val="00E87772"/>
    <w:rsid w:val="00E914C4"/>
    <w:rsid w:val="00E91CDD"/>
    <w:rsid w:val="00E9322A"/>
    <w:rsid w:val="00E934F5"/>
    <w:rsid w:val="00E96036"/>
    <w:rsid w:val="00E96961"/>
    <w:rsid w:val="00EA064D"/>
    <w:rsid w:val="00EA1054"/>
    <w:rsid w:val="00EA1568"/>
    <w:rsid w:val="00EA23CB"/>
    <w:rsid w:val="00EA24AB"/>
    <w:rsid w:val="00EA27C6"/>
    <w:rsid w:val="00EA3BD1"/>
    <w:rsid w:val="00EA40B3"/>
    <w:rsid w:val="00EA5260"/>
    <w:rsid w:val="00EA72EC"/>
    <w:rsid w:val="00EA7AFA"/>
    <w:rsid w:val="00EB11CB"/>
    <w:rsid w:val="00EB1329"/>
    <w:rsid w:val="00EB18AE"/>
    <w:rsid w:val="00EB275A"/>
    <w:rsid w:val="00EB36FE"/>
    <w:rsid w:val="00EB3CE1"/>
    <w:rsid w:val="00EB5348"/>
    <w:rsid w:val="00EB6F2D"/>
    <w:rsid w:val="00EB786A"/>
    <w:rsid w:val="00EB7D02"/>
    <w:rsid w:val="00EC1578"/>
    <w:rsid w:val="00EC1C72"/>
    <w:rsid w:val="00EC22BB"/>
    <w:rsid w:val="00EC30DF"/>
    <w:rsid w:val="00EC3CC9"/>
    <w:rsid w:val="00EC4225"/>
    <w:rsid w:val="00EC680A"/>
    <w:rsid w:val="00ED4677"/>
    <w:rsid w:val="00ED49CD"/>
    <w:rsid w:val="00ED7A1B"/>
    <w:rsid w:val="00ED7ECF"/>
    <w:rsid w:val="00EE0595"/>
    <w:rsid w:val="00EE13DE"/>
    <w:rsid w:val="00EE1E40"/>
    <w:rsid w:val="00EE2BED"/>
    <w:rsid w:val="00EE374B"/>
    <w:rsid w:val="00EE7447"/>
    <w:rsid w:val="00EF005A"/>
    <w:rsid w:val="00EF125C"/>
    <w:rsid w:val="00EF134A"/>
    <w:rsid w:val="00EF242D"/>
    <w:rsid w:val="00EF4FCC"/>
    <w:rsid w:val="00EF7419"/>
    <w:rsid w:val="00F00E59"/>
    <w:rsid w:val="00F025D8"/>
    <w:rsid w:val="00F07E78"/>
    <w:rsid w:val="00F100A5"/>
    <w:rsid w:val="00F10983"/>
    <w:rsid w:val="00F11A66"/>
    <w:rsid w:val="00F11BB5"/>
    <w:rsid w:val="00F12AE2"/>
    <w:rsid w:val="00F1417B"/>
    <w:rsid w:val="00F14F46"/>
    <w:rsid w:val="00F169D3"/>
    <w:rsid w:val="00F16FB4"/>
    <w:rsid w:val="00F17FC4"/>
    <w:rsid w:val="00F211F3"/>
    <w:rsid w:val="00F2226D"/>
    <w:rsid w:val="00F22373"/>
    <w:rsid w:val="00F23516"/>
    <w:rsid w:val="00F23772"/>
    <w:rsid w:val="00F25A22"/>
    <w:rsid w:val="00F27B8B"/>
    <w:rsid w:val="00F33082"/>
    <w:rsid w:val="00F3350C"/>
    <w:rsid w:val="00F34B99"/>
    <w:rsid w:val="00F36781"/>
    <w:rsid w:val="00F40DE1"/>
    <w:rsid w:val="00F41EC9"/>
    <w:rsid w:val="00F427F1"/>
    <w:rsid w:val="00F45B1A"/>
    <w:rsid w:val="00F464DB"/>
    <w:rsid w:val="00F52DAB"/>
    <w:rsid w:val="00F543F0"/>
    <w:rsid w:val="00F5489B"/>
    <w:rsid w:val="00F549FE"/>
    <w:rsid w:val="00F54FD9"/>
    <w:rsid w:val="00F55903"/>
    <w:rsid w:val="00F55EDD"/>
    <w:rsid w:val="00F56580"/>
    <w:rsid w:val="00F5689D"/>
    <w:rsid w:val="00F56DF8"/>
    <w:rsid w:val="00F57B83"/>
    <w:rsid w:val="00F60D91"/>
    <w:rsid w:val="00F63CDD"/>
    <w:rsid w:val="00F652A3"/>
    <w:rsid w:val="00F65CEF"/>
    <w:rsid w:val="00F67615"/>
    <w:rsid w:val="00F7137C"/>
    <w:rsid w:val="00F73738"/>
    <w:rsid w:val="00F73D80"/>
    <w:rsid w:val="00F745E8"/>
    <w:rsid w:val="00F80D6A"/>
    <w:rsid w:val="00F81D29"/>
    <w:rsid w:val="00F825E7"/>
    <w:rsid w:val="00F83F10"/>
    <w:rsid w:val="00F85081"/>
    <w:rsid w:val="00F85C8E"/>
    <w:rsid w:val="00F902B8"/>
    <w:rsid w:val="00F9130C"/>
    <w:rsid w:val="00F917AD"/>
    <w:rsid w:val="00F91C4D"/>
    <w:rsid w:val="00F92039"/>
    <w:rsid w:val="00F92FD9"/>
    <w:rsid w:val="00F93EED"/>
    <w:rsid w:val="00F95E18"/>
    <w:rsid w:val="00FA0262"/>
    <w:rsid w:val="00FA15F8"/>
    <w:rsid w:val="00FA6684"/>
    <w:rsid w:val="00FA71A7"/>
    <w:rsid w:val="00FA731E"/>
    <w:rsid w:val="00FA7988"/>
    <w:rsid w:val="00FA7A32"/>
    <w:rsid w:val="00FA7D85"/>
    <w:rsid w:val="00FB0131"/>
    <w:rsid w:val="00FB0F9F"/>
    <w:rsid w:val="00FB2B38"/>
    <w:rsid w:val="00FB50BA"/>
    <w:rsid w:val="00FB60C0"/>
    <w:rsid w:val="00FC1B25"/>
    <w:rsid w:val="00FC56E4"/>
    <w:rsid w:val="00FC6358"/>
    <w:rsid w:val="00FC755F"/>
    <w:rsid w:val="00FD0693"/>
    <w:rsid w:val="00FD1EDC"/>
    <w:rsid w:val="00FD320D"/>
    <w:rsid w:val="00FD3C78"/>
    <w:rsid w:val="00FD5194"/>
    <w:rsid w:val="00FD55E8"/>
    <w:rsid w:val="00FD665A"/>
    <w:rsid w:val="00FE23DE"/>
    <w:rsid w:val="00FE25E7"/>
    <w:rsid w:val="00FE3947"/>
    <w:rsid w:val="00FE4E95"/>
    <w:rsid w:val="00FE6083"/>
    <w:rsid w:val="00FF0210"/>
    <w:rsid w:val="00FF0B47"/>
    <w:rsid w:val="00FF5DAC"/>
    <w:rsid w:val="00FF7E8B"/>
    <w:rsid w:val="028F502B"/>
    <w:rsid w:val="02C97CE1"/>
    <w:rsid w:val="03051907"/>
    <w:rsid w:val="037D7658"/>
    <w:rsid w:val="03A34A22"/>
    <w:rsid w:val="04FE32C9"/>
    <w:rsid w:val="08AC6127"/>
    <w:rsid w:val="091A4A28"/>
    <w:rsid w:val="0AFF69E2"/>
    <w:rsid w:val="0BC34384"/>
    <w:rsid w:val="0C1C058E"/>
    <w:rsid w:val="0C377A52"/>
    <w:rsid w:val="0C596BDC"/>
    <w:rsid w:val="0CB23ED2"/>
    <w:rsid w:val="0DE879B3"/>
    <w:rsid w:val="0E56341C"/>
    <w:rsid w:val="128F297F"/>
    <w:rsid w:val="13603C67"/>
    <w:rsid w:val="142D54F6"/>
    <w:rsid w:val="15B640F6"/>
    <w:rsid w:val="182F6824"/>
    <w:rsid w:val="18305270"/>
    <w:rsid w:val="188C597E"/>
    <w:rsid w:val="1B22545C"/>
    <w:rsid w:val="1CD750DF"/>
    <w:rsid w:val="1D205E09"/>
    <w:rsid w:val="1F8D7BDD"/>
    <w:rsid w:val="1FD14F64"/>
    <w:rsid w:val="245A5B02"/>
    <w:rsid w:val="253F2B91"/>
    <w:rsid w:val="26BC564F"/>
    <w:rsid w:val="27A73DC7"/>
    <w:rsid w:val="29AD116F"/>
    <w:rsid w:val="2A9A3BE1"/>
    <w:rsid w:val="2E934A37"/>
    <w:rsid w:val="2EE47B19"/>
    <w:rsid w:val="2F4A4A28"/>
    <w:rsid w:val="30104940"/>
    <w:rsid w:val="308D7F35"/>
    <w:rsid w:val="31317F3D"/>
    <w:rsid w:val="329D4563"/>
    <w:rsid w:val="34467B6F"/>
    <w:rsid w:val="34A75C90"/>
    <w:rsid w:val="34BF1DAE"/>
    <w:rsid w:val="34D944A0"/>
    <w:rsid w:val="357F21C9"/>
    <w:rsid w:val="35A35487"/>
    <w:rsid w:val="37A872D3"/>
    <w:rsid w:val="38342603"/>
    <w:rsid w:val="383728AA"/>
    <w:rsid w:val="3A90384C"/>
    <w:rsid w:val="3BB105C8"/>
    <w:rsid w:val="3BE25232"/>
    <w:rsid w:val="3C985700"/>
    <w:rsid w:val="3D427DDA"/>
    <w:rsid w:val="3E330175"/>
    <w:rsid w:val="3ED9702A"/>
    <w:rsid w:val="3F27595D"/>
    <w:rsid w:val="3F4E09E2"/>
    <w:rsid w:val="414A5F02"/>
    <w:rsid w:val="447F2B8C"/>
    <w:rsid w:val="48183D4F"/>
    <w:rsid w:val="49015398"/>
    <w:rsid w:val="49D31C5E"/>
    <w:rsid w:val="49D722FD"/>
    <w:rsid w:val="4AA8078A"/>
    <w:rsid w:val="4B867C14"/>
    <w:rsid w:val="4EB40BB6"/>
    <w:rsid w:val="4F9B73E9"/>
    <w:rsid w:val="50DE63C8"/>
    <w:rsid w:val="51A35157"/>
    <w:rsid w:val="520950F7"/>
    <w:rsid w:val="52D33A52"/>
    <w:rsid w:val="53E6797F"/>
    <w:rsid w:val="56463ED7"/>
    <w:rsid w:val="57A966BA"/>
    <w:rsid w:val="58367EAE"/>
    <w:rsid w:val="593F3BF0"/>
    <w:rsid w:val="59FC1CC9"/>
    <w:rsid w:val="5A80010A"/>
    <w:rsid w:val="5B1A0DAA"/>
    <w:rsid w:val="5BFB608B"/>
    <w:rsid w:val="5D200CE1"/>
    <w:rsid w:val="5EBD0027"/>
    <w:rsid w:val="5F8D3732"/>
    <w:rsid w:val="5FFF4781"/>
    <w:rsid w:val="608307F9"/>
    <w:rsid w:val="61D16305"/>
    <w:rsid w:val="62253D5F"/>
    <w:rsid w:val="62361E5F"/>
    <w:rsid w:val="62B34F58"/>
    <w:rsid w:val="63600D5E"/>
    <w:rsid w:val="641D2911"/>
    <w:rsid w:val="66326624"/>
    <w:rsid w:val="6792015F"/>
    <w:rsid w:val="69B328D9"/>
    <w:rsid w:val="6E472347"/>
    <w:rsid w:val="703717B6"/>
    <w:rsid w:val="72B01473"/>
    <w:rsid w:val="73D547EE"/>
    <w:rsid w:val="743537FE"/>
    <w:rsid w:val="75D917FB"/>
    <w:rsid w:val="77D55ECE"/>
    <w:rsid w:val="7809375F"/>
    <w:rsid w:val="79095044"/>
    <w:rsid w:val="7B68745B"/>
    <w:rsid w:val="7CCC6289"/>
    <w:rsid w:val="7D2142A0"/>
    <w:rsid w:val="7DA76653"/>
    <w:rsid w:val="7DE618DF"/>
    <w:rsid w:val="7F4219EB"/>
    <w:rsid w:val="7F80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56"/>
    <w:qFormat/>
    <w:uiPriority w:val="9"/>
    <w:pPr>
      <w:keepNext/>
      <w:widowControl/>
      <w:numPr>
        <w:ilvl w:val="0"/>
        <w:numId w:val="1"/>
      </w:numPr>
      <w:spacing w:before="360" w:after="120"/>
      <w:jc w:val="left"/>
      <w:outlineLvl w:val="0"/>
    </w:pPr>
    <w:rPr>
      <w:rFonts w:eastAsia="Arial" w:cs="Arial"/>
      <w:b/>
      <w:caps/>
      <w:color w:val="FF6600"/>
      <w:spacing w:val="20"/>
      <w:kern w:val="0"/>
      <w:sz w:val="20"/>
      <w:szCs w:val="20"/>
      <w:lang w:eastAsia="en-US"/>
    </w:rPr>
  </w:style>
  <w:style w:type="paragraph" w:styleId="3">
    <w:name w:val="heading 2"/>
    <w:basedOn w:val="1"/>
    <w:next w:val="1"/>
    <w:link w:val="62"/>
    <w:qFormat/>
    <w:uiPriority w:val="9"/>
    <w:pPr>
      <w:widowControl/>
      <w:numPr>
        <w:ilvl w:val="1"/>
        <w:numId w:val="1"/>
      </w:numPr>
      <w:pBdr>
        <w:bottom w:val="single" w:color="FF6600" w:sz="4" w:space="1"/>
      </w:pBdr>
      <w:spacing w:before="240"/>
      <w:jc w:val="left"/>
      <w:outlineLvl w:val="1"/>
    </w:pPr>
    <w:rPr>
      <w:rFonts w:eastAsia="Arial" w:cs="Arial"/>
      <w:b/>
      <w:iCs/>
      <w:smallCaps/>
      <w:color w:val="363636"/>
      <w:spacing w:val="15"/>
      <w:kern w:val="32"/>
      <w:sz w:val="22"/>
      <w:szCs w:val="20"/>
      <w:lang w:eastAsia="en-US"/>
    </w:rPr>
  </w:style>
  <w:style w:type="paragraph" w:styleId="4">
    <w:name w:val="heading 3"/>
    <w:basedOn w:val="1"/>
    <w:next w:val="1"/>
    <w:link w:val="52"/>
    <w:qFormat/>
    <w:uiPriority w:val="9"/>
    <w:pPr>
      <w:keepNext/>
      <w:widowControl/>
      <w:numPr>
        <w:ilvl w:val="2"/>
        <w:numId w:val="1"/>
      </w:numPr>
      <w:spacing w:before="240" w:after="60"/>
      <w:jc w:val="left"/>
      <w:outlineLvl w:val="2"/>
    </w:pPr>
    <w:rPr>
      <w:rFonts w:cs="Arial"/>
      <w:b/>
      <w:bCs/>
      <w:smallCaps/>
      <w:color w:val="FF6600"/>
      <w:kern w:val="0"/>
      <w:sz w:val="20"/>
      <w:szCs w:val="20"/>
      <w:lang w:eastAsia="en-US"/>
    </w:rPr>
  </w:style>
  <w:style w:type="paragraph" w:styleId="5">
    <w:name w:val="heading 4"/>
    <w:basedOn w:val="1"/>
    <w:next w:val="1"/>
    <w:link w:val="64"/>
    <w:qFormat/>
    <w:uiPriority w:val="9"/>
    <w:pPr>
      <w:keepNext/>
      <w:widowControl/>
      <w:numPr>
        <w:ilvl w:val="3"/>
        <w:numId w:val="1"/>
      </w:numPr>
      <w:jc w:val="left"/>
      <w:outlineLvl w:val="3"/>
    </w:pPr>
    <w:rPr>
      <w:rFonts w:eastAsia="黑体"/>
      <w:bCs/>
      <w:kern w:val="0"/>
      <w:sz w:val="18"/>
      <w:szCs w:val="28"/>
      <w:lang w:eastAsia="en-US" w:bidi="en-US"/>
    </w:rPr>
  </w:style>
  <w:style w:type="paragraph" w:styleId="6">
    <w:name w:val="heading 5"/>
    <w:basedOn w:val="1"/>
    <w:next w:val="1"/>
    <w:link w:val="61"/>
    <w:qFormat/>
    <w:uiPriority w:val="9"/>
    <w:pPr>
      <w:keepNext/>
      <w:keepLines/>
      <w:widowControl/>
      <w:numPr>
        <w:ilvl w:val="4"/>
        <w:numId w:val="1"/>
      </w:numPr>
      <w:jc w:val="left"/>
      <w:outlineLvl w:val="4"/>
    </w:pPr>
    <w:rPr>
      <w:kern w:val="0"/>
      <w:sz w:val="18"/>
      <w:szCs w:val="22"/>
      <w:lang w:eastAsia="en-US"/>
    </w:rPr>
  </w:style>
  <w:style w:type="paragraph" w:styleId="7">
    <w:name w:val="heading 6"/>
    <w:basedOn w:val="1"/>
    <w:next w:val="1"/>
    <w:link w:val="54"/>
    <w:qFormat/>
    <w:uiPriority w:val="9"/>
    <w:pPr>
      <w:widowControl/>
      <w:numPr>
        <w:ilvl w:val="5"/>
        <w:numId w:val="1"/>
      </w:numPr>
      <w:spacing w:before="240" w:after="60"/>
      <w:jc w:val="left"/>
      <w:outlineLvl w:val="5"/>
    </w:pPr>
    <w:rPr>
      <w:bCs/>
      <w:kern w:val="0"/>
      <w:sz w:val="18"/>
      <w:szCs w:val="20"/>
      <w:lang w:eastAsia="en-US"/>
    </w:rPr>
  </w:style>
  <w:style w:type="paragraph" w:styleId="8">
    <w:name w:val="heading 7"/>
    <w:basedOn w:val="1"/>
    <w:next w:val="1"/>
    <w:link w:val="72"/>
    <w:qFormat/>
    <w:uiPriority w:val="9"/>
    <w:pPr>
      <w:widowControl/>
      <w:numPr>
        <w:ilvl w:val="6"/>
        <w:numId w:val="1"/>
      </w:numPr>
      <w:spacing w:before="240" w:after="60"/>
      <w:jc w:val="left"/>
      <w:outlineLvl w:val="6"/>
    </w:pPr>
    <w:rPr>
      <w:kern w:val="0"/>
      <w:sz w:val="18"/>
      <w:szCs w:val="20"/>
      <w:lang w:eastAsia="en-US"/>
    </w:rPr>
  </w:style>
  <w:style w:type="paragraph" w:styleId="9">
    <w:name w:val="heading 8"/>
    <w:basedOn w:val="1"/>
    <w:next w:val="1"/>
    <w:link w:val="71"/>
    <w:qFormat/>
    <w:uiPriority w:val="9"/>
    <w:pPr>
      <w:widowControl/>
      <w:numPr>
        <w:ilvl w:val="7"/>
        <w:numId w:val="1"/>
      </w:numPr>
      <w:spacing w:before="240" w:after="60"/>
      <w:jc w:val="left"/>
      <w:outlineLvl w:val="7"/>
    </w:pPr>
    <w:rPr>
      <w:iCs/>
      <w:kern w:val="0"/>
      <w:sz w:val="18"/>
      <w:szCs w:val="20"/>
      <w:lang w:eastAsia="en-US"/>
    </w:rPr>
  </w:style>
  <w:style w:type="paragraph" w:styleId="10">
    <w:name w:val="heading 9"/>
    <w:basedOn w:val="1"/>
    <w:next w:val="1"/>
    <w:link w:val="59"/>
    <w:qFormat/>
    <w:uiPriority w:val="9"/>
    <w:pPr>
      <w:widowControl/>
      <w:numPr>
        <w:ilvl w:val="8"/>
        <w:numId w:val="1"/>
      </w:numPr>
      <w:spacing w:before="240" w:after="60"/>
      <w:jc w:val="left"/>
      <w:outlineLvl w:val="8"/>
    </w:pPr>
    <w:rPr>
      <w:kern w:val="0"/>
      <w:sz w:val="18"/>
      <w:szCs w:val="20"/>
      <w:lang w:eastAsia="en-US"/>
    </w:rPr>
  </w:style>
  <w:style w:type="character" w:default="1" w:styleId="44">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tabs>
        <w:tab w:val="right" w:leader="dot" w:pos="9241"/>
      </w:tabs>
      <w:ind w:firstLine="500" w:firstLineChars="500"/>
      <w:jc w:val="left"/>
    </w:pPr>
    <w:rPr>
      <w:rFonts w:ascii="宋体"/>
      <w:szCs w:val="21"/>
    </w:rPr>
  </w:style>
  <w:style w:type="paragraph" w:styleId="12">
    <w:name w:val="index 8"/>
    <w:basedOn w:val="1"/>
    <w:next w:val="1"/>
    <w:qFormat/>
    <w:uiPriority w:val="0"/>
    <w:pPr>
      <w:ind w:left="1680" w:hanging="210"/>
      <w:jc w:val="left"/>
    </w:pPr>
    <w:rPr>
      <w:sz w:val="20"/>
      <w:szCs w:val="20"/>
    </w:rPr>
  </w:style>
  <w:style w:type="paragraph" w:styleId="13">
    <w:name w:val="caption"/>
    <w:basedOn w:val="1"/>
    <w:next w:val="1"/>
    <w:qFormat/>
    <w:uiPriority w:val="0"/>
    <w:pPr>
      <w:spacing w:before="152"/>
    </w:pPr>
    <w:rPr>
      <w:rFonts w:ascii="Arial" w:hAnsi="Arial" w:eastAsia="黑体" w:cs="Arial"/>
      <w:sz w:val="20"/>
      <w:szCs w:val="20"/>
    </w:rPr>
  </w:style>
  <w:style w:type="paragraph" w:styleId="14">
    <w:name w:val="index 5"/>
    <w:basedOn w:val="1"/>
    <w:next w:val="1"/>
    <w:qFormat/>
    <w:uiPriority w:val="0"/>
    <w:pPr>
      <w:ind w:left="1050" w:hanging="210"/>
      <w:jc w:val="left"/>
    </w:pPr>
    <w:rPr>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60"/>
    <w:qFormat/>
    <w:uiPriority w:val="0"/>
    <w:pPr>
      <w:widowControl/>
      <w:jc w:val="left"/>
    </w:pPr>
    <w:rPr>
      <w:kern w:val="0"/>
      <w:sz w:val="20"/>
      <w:szCs w:val="20"/>
      <w:lang w:eastAsia="en-US"/>
    </w:rPr>
  </w:style>
  <w:style w:type="paragraph" w:styleId="17">
    <w:name w:val="index 6"/>
    <w:basedOn w:val="1"/>
    <w:next w:val="1"/>
    <w:qFormat/>
    <w:uiPriority w:val="0"/>
    <w:pPr>
      <w:ind w:left="1260" w:hanging="210"/>
      <w:jc w:val="left"/>
    </w:pPr>
    <w:rPr>
      <w:sz w:val="20"/>
      <w:szCs w:val="20"/>
    </w:rPr>
  </w:style>
  <w:style w:type="paragraph" w:styleId="18">
    <w:name w:val="Body Text"/>
    <w:basedOn w:val="1"/>
    <w:link w:val="168"/>
    <w:qFormat/>
    <w:uiPriority w:val="1"/>
    <w:pPr>
      <w:spacing w:line="360" w:lineRule="auto"/>
      <w:jc w:val="left"/>
    </w:pPr>
    <w:rPr>
      <w:kern w:val="0"/>
      <w:szCs w:val="21"/>
    </w:rPr>
  </w:style>
  <w:style w:type="paragraph" w:styleId="19">
    <w:name w:val="index 4"/>
    <w:basedOn w:val="1"/>
    <w:next w:val="1"/>
    <w:qFormat/>
    <w:uiPriority w:val="0"/>
    <w:pPr>
      <w:ind w:left="840" w:hanging="210"/>
      <w:jc w:val="left"/>
    </w:pPr>
    <w:rPr>
      <w:sz w:val="20"/>
      <w:szCs w:val="20"/>
    </w:rPr>
  </w:style>
  <w:style w:type="paragraph" w:styleId="20">
    <w:name w:val="toc 5"/>
    <w:basedOn w:val="1"/>
    <w:next w:val="1"/>
    <w:semiHidden/>
    <w:qFormat/>
    <w:uiPriority w:val="0"/>
    <w:pPr>
      <w:tabs>
        <w:tab w:val="right" w:leader="dot" w:pos="9241"/>
      </w:tabs>
      <w:ind w:firstLine="300" w:firstLineChars="300"/>
      <w:jc w:val="left"/>
    </w:pPr>
    <w:rPr>
      <w:rFonts w:ascii="宋体"/>
      <w:szCs w:val="21"/>
    </w:rPr>
  </w:style>
  <w:style w:type="paragraph" w:styleId="21">
    <w:name w:val="toc 3"/>
    <w:basedOn w:val="1"/>
    <w:next w:val="1"/>
    <w:semiHidden/>
    <w:qFormat/>
    <w:uiPriority w:val="0"/>
    <w:pPr>
      <w:tabs>
        <w:tab w:val="right" w:leader="dot" w:pos="9241"/>
      </w:tabs>
      <w:ind w:firstLine="100" w:firstLineChars="100"/>
      <w:jc w:val="left"/>
    </w:pPr>
    <w:rPr>
      <w:rFonts w:ascii="宋体"/>
      <w:szCs w:val="21"/>
    </w:rPr>
  </w:style>
  <w:style w:type="paragraph" w:styleId="22">
    <w:name w:val="toc 8"/>
    <w:basedOn w:val="1"/>
    <w:next w:val="1"/>
    <w:semiHidden/>
    <w:qFormat/>
    <w:uiPriority w:val="0"/>
    <w:pPr>
      <w:tabs>
        <w:tab w:val="right" w:leader="dot" w:pos="9241"/>
      </w:tabs>
      <w:ind w:firstLine="607" w:firstLineChars="600"/>
      <w:jc w:val="left"/>
    </w:pPr>
    <w:rPr>
      <w:rFonts w:ascii="宋体"/>
      <w:szCs w:val="21"/>
    </w:rPr>
  </w:style>
  <w:style w:type="paragraph" w:styleId="23">
    <w:name w:val="index 3"/>
    <w:basedOn w:val="1"/>
    <w:next w:val="1"/>
    <w:qFormat/>
    <w:uiPriority w:val="0"/>
    <w:pPr>
      <w:ind w:left="630" w:hanging="210"/>
      <w:jc w:val="left"/>
    </w:pPr>
    <w:rPr>
      <w:sz w:val="20"/>
      <w:szCs w:val="20"/>
    </w:rPr>
  </w:style>
  <w:style w:type="paragraph" w:styleId="24">
    <w:name w:val="endnote text"/>
    <w:basedOn w:val="1"/>
    <w:semiHidden/>
    <w:qFormat/>
    <w:uiPriority w:val="0"/>
    <w:pPr>
      <w:snapToGrid w:val="0"/>
      <w:jc w:val="left"/>
    </w:pPr>
  </w:style>
  <w:style w:type="paragraph" w:styleId="25">
    <w:name w:val="Balloon Text"/>
    <w:basedOn w:val="1"/>
    <w:link w:val="58"/>
    <w:qFormat/>
    <w:uiPriority w:val="0"/>
    <w:rPr>
      <w:sz w:val="18"/>
      <w:szCs w:val="18"/>
    </w:rPr>
  </w:style>
  <w:style w:type="paragraph" w:styleId="26">
    <w:name w:val="footer"/>
    <w:basedOn w:val="1"/>
    <w:link w:val="55"/>
    <w:qFormat/>
    <w:uiPriority w:val="99"/>
    <w:pPr>
      <w:tabs>
        <w:tab w:val="center" w:pos="4677"/>
        <w:tab w:val="right" w:pos="9354"/>
      </w:tabs>
      <w:snapToGrid w:val="0"/>
      <w:ind w:right="210" w:rightChars="100" w:firstLine="8160" w:firstLineChars="5100"/>
      <w:jc w:val="left"/>
    </w:pPr>
    <w:rPr>
      <w:sz w:val="16"/>
      <w:szCs w:val="16"/>
    </w:rPr>
  </w:style>
  <w:style w:type="paragraph" w:styleId="27">
    <w:name w:val="header"/>
    <w:basedOn w:val="1"/>
    <w:link w:val="53"/>
    <w:qFormat/>
    <w:uiPriority w:val="99"/>
    <w:pPr>
      <w:snapToGrid w:val="0"/>
      <w:jc w:val="left"/>
    </w:pPr>
    <w:rPr>
      <w:sz w:val="18"/>
      <w:szCs w:val="18"/>
    </w:rPr>
  </w:style>
  <w:style w:type="paragraph" w:styleId="28">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29">
    <w:name w:val="toc 4"/>
    <w:basedOn w:val="1"/>
    <w:next w:val="1"/>
    <w:semiHidden/>
    <w:qFormat/>
    <w:uiPriority w:val="0"/>
    <w:pPr>
      <w:tabs>
        <w:tab w:val="right" w:leader="dot" w:pos="9241"/>
      </w:tabs>
      <w:ind w:firstLine="200"/>
      <w:jc w:val="left"/>
    </w:pPr>
    <w:rPr>
      <w:rFonts w:ascii="宋体"/>
      <w:szCs w:val="21"/>
    </w:rPr>
  </w:style>
  <w:style w:type="paragraph" w:styleId="30">
    <w:name w:val="index heading"/>
    <w:basedOn w:val="1"/>
    <w:next w:val="31"/>
    <w:qFormat/>
    <w:uiPriority w:val="0"/>
    <w:pPr>
      <w:spacing w:before="120" w:after="120"/>
      <w:jc w:val="center"/>
    </w:pPr>
    <w:rPr>
      <w:b/>
      <w:bCs/>
      <w:iCs/>
      <w:szCs w:val="20"/>
    </w:rPr>
  </w:style>
  <w:style w:type="paragraph" w:styleId="31">
    <w:name w:val="index 1"/>
    <w:basedOn w:val="1"/>
    <w:next w:val="32"/>
    <w:qFormat/>
    <w:uiPriority w:val="0"/>
    <w:pPr>
      <w:tabs>
        <w:tab w:val="right" w:leader="dot" w:pos="9299"/>
      </w:tabs>
      <w:jc w:val="left"/>
    </w:pPr>
    <w:rPr>
      <w:rFonts w:ascii="宋体"/>
      <w:szCs w:val="21"/>
    </w:rPr>
  </w:style>
  <w:style w:type="paragraph" w:customStyle="1" w:styleId="32">
    <w:name w:val="段"/>
    <w:link w:val="65"/>
    <w:qFormat/>
    <w:uiPriority w:val="0"/>
    <w:pPr>
      <w:tabs>
        <w:tab w:val="center" w:pos="4201"/>
        <w:tab w:val="right" w:leader="dot" w:pos="9298"/>
      </w:tabs>
      <w:autoSpaceDE w:val="0"/>
      <w:autoSpaceDN w:val="0"/>
      <w:spacing w:after="160" w:line="259" w:lineRule="auto"/>
      <w:ind w:firstLine="420" w:firstLineChars="200"/>
      <w:jc w:val="both"/>
    </w:pPr>
    <w:rPr>
      <w:rFonts w:ascii="宋体" w:hAnsi="Calibri" w:eastAsia="宋体" w:cs="Times New Roman"/>
      <w:sz w:val="21"/>
      <w:lang w:val="en-US" w:eastAsia="zh-CN" w:bidi="ar-SA"/>
    </w:rPr>
  </w:style>
  <w:style w:type="paragraph" w:styleId="33">
    <w:name w:val="footnote text"/>
    <w:basedOn w:val="1"/>
    <w:qFormat/>
    <w:uiPriority w:val="0"/>
    <w:pPr>
      <w:numPr>
        <w:ilvl w:val="0"/>
        <w:numId w:val="2"/>
      </w:numPr>
      <w:snapToGrid w:val="0"/>
      <w:jc w:val="left"/>
    </w:pPr>
    <w:rPr>
      <w:rFonts w:ascii="宋体"/>
      <w:sz w:val="18"/>
      <w:szCs w:val="18"/>
    </w:rPr>
  </w:style>
  <w:style w:type="paragraph" w:styleId="34">
    <w:name w:val="toc 6"/>
    <w:basedOn w:val="1"/>
    <w:next w:val="1"/>
    <w:semiHidden/>
    <w:qFormat/>
    <w:uiPriority w:val="0"/>
    <w:pPr>
      <w:tabs>
        <w:tab w:val="right" w:leader="dot" w:pos="9241"/>
      </w:tabs>
      <w:ind w:firstLine="400" w:firstLineChars="400"/>
      <w:jc w:val="left"/>
    </w:pPr>
    <w:rPr>
      <w:rFonts w:ascii="宋体"/>
      <w:szCs w:val="21"/>
    </w:rPr>
  </w:style>
  <w:style w:type="paragraph" w:styleId="35">
    <w:name w:val="index 7"/>
    <w:basedOn w:val="1"/>
    <w:next w:val="1"/>
    <w:qFormat/>
    <w:uiPriority w:val="0"/>
    <w:pPr>
      <w:ind w:left="1470" w:hanging="210"/>
      <w:jc w:val="left"/>
    </w:pPr>
    <w:rPr>
      <w:sz w:val="20"/>
      <w:szCs w:val="20"/>
    </w:rPr>
  </w:style>
  <w:style w:type="paragraph" w:styleId="36">
    <w:name w:val="index 9"/>
    <w:basedOn w:val="1"/>
    <w:next w:val="1"/>
    <w:qFormat/>
    <w:uiPriority w:val="0"/>
    <w:pPr>
      <w:ind w:left="1890" w:hanging="210"/>
      <w:jc w:val="left"/>
    </w:pPr>
    <w:rPr>
      <w:sz w:val="20"/>
      <w:szCs w:val="20"/>
    </w:rPr>
  </w:style>
  <w:style w:type="paragraph" w:styleId="37">
    <w:name w:val="toc 2"/>
    <w:basedOn w:val="1"/>
    <w:next w:val="1"/>
    <w:semiHidden/>
    <w:qFormat/>
    <w:uiPriority w:val="0"/>
    <w:pPr>
      <w:tabs>
        <w:tab w:val="right" w:leader="dot" w:pos="9242"/>
      </w:tabs>
    </w:pPr>
    <w:rPr>
      <w:rFonts w:ascii="宋体"/>
      <w:szCs w:val="21"/>
    </w:rPr>
  </w:style>
  <w:style w:type="paragraph" w:styleId="38">
    <w:name w:val="toc 9"/>
    <w:basedOn w:val="1"/>
    <w:next w:val="1"/>
    <w:semiHidden/>
    <w:qFormat/>
    <w:uiPriority w:val="0"/>
    <w:pPr>
      <w:ind w:left="1470"/>
      <w:jc w:val="left"/>
    </w:pPr>
    <w:rPr>
      <w:sz w:val="20"/>
      <w:szCs w:val="20"/>
    </w:rPr>
  </w:style>
  <w:style w:type="paragraph" w:styleId="39">
    <w:name w:val="Normal (Web)"/>
    <w:basedOn w:val="1"/>
    <w:unhideWhenUsed/>
    <w:qFormat/>
    <w:uiPriority w:val="99"/>
    <w:pPr>
      <w:spacing w:before="5" w:line="360" w:lineRule="auto"/>
      <w:ind w:right="211" w:firstLine="480"/>
      <w:jc w:val="center"/>
    </w:pPr>
    <w:rPr>
      <w:kern w:val="0"/>
      <w:sz w:val="24"/>
      <w:szCs w:val="22"/>
      <w:lang w:eastAsia="en-US"/>
    </w:rPr>
  </w:style>
  <w:style w:type="paragraph" w:styleId="40">
    <w:name w:val="index 2"/>
    <w:basedOn w:val="1"/>
    <w:next w:val="1"/>
    <w:qFormat/>
    <w:uiPriority w:val="0"/>
    <w:pPr>
      <w:ind w:left="420" w:hanging="210"/>
      <w:jc w:val="left"/>
    </w:pPr>
    <w:rPr>
      <w:sz w:val="20"/>
      <w:szCs w:val="20"/>
    </w:rPr>
  </w:style>
  <w:style w:type="paragraph" w:styleId="41">
    <w:name w:val="annotation subject"/>
    <w:basedOn w:val="16"/>
    <w:next w:val="16"/>
    <w:link w:val="57"/>
    <w:qFormat/>
    <w:uiPriority w:val="0"/>
    <w:pPr>
      <w:widowControl w:val="0"/>
      <w:jc w:val="both"/>
    </w:pPr>
    <w:rPr>
      <w:b/>
      <w:bCs/>
      <w:kern w:val="2"/>
      <w:lang w:eastAsia="zh-CN"/>
    </w:rPr>
  </w:style>
  <w:style w:type="table" w:styleId="43">
    <w:name w:val="Table Grid"/>
    <w:basedOn w:val="42"/>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endnote reference"/>
    <w:semiHidden/>
    <w:qFormat/>
    <w:uiPriority w:val="0"/>
    <w:rPr>
      <w:vertAlign w:val="superscript"/>
    </w:rPr>
  </w:style>
  <w:style w:type="character" w:styleId="46">
    <w:name w:val="page number"/>
    <w:qFormat/>
    <w:uiPriority w:val="0"/>
    <w:rPr>
      <w:rFonts w:ascii="Times New Roman" w:hAnsi="Times New Roman" w:eastAsia="宋体"/>
      <w:sz w:val="18"/>
    </w:rPr>
  </w:style>
  <w:style w:type="character" w:styleId="47">
    <w:name w:val="FollowedHyperlink"/>
    <w:qFormat/>
    <w:uiPriority w:val="0"/>
    <w:rPr>
      <w:color w:val="800080"/>
      <w:u w:val="single"/>
    </w:rPr>
  </w:style>
  <w:style w:type="character" w:styleId="48">
    <w:name w:val="Emphasis"/>
    <w:qFormat/>
    <w:uiPriority w:val="20"/>
    <w:rPr>
      <w:i/>
      <w:iCs/>
    </w:rPr>
  </w:style>
  <w:style w:type="character" w:styleId="49">
    <w:name w:val="Hyperlink"/>
    <w:qFormat/>
    <w:uiPriority w:val="0"/>
    <w:rPr>
      <w:color w:val="0000FF"/>
      <w:spacing w:val="0"/>
      <w:w w:val="100"/>
      <w:szCs w:val="21"/>
      <w:u w:val="single"/>
      <w:lang w:val="en-US" w:eastAsia="zh-CN"/>
    </w:rPr>
  </w:style>
  <w:style w:type="character" w:styleId="50">
    <w:name w:val="annotation reference"/>
    <w:qFormat/>
    <w:uiPriority w:val="0"/>
    <w:rPr>
      <w:sz w:val="21"/>
      <w:szCs w:val="21"/>
    </w:rPr>
  </w:style>
  <w:style w:type="character" w:styleId="51">
    <w:name w:val="footnote reference"/>
    <w:semiHidden/>
    <w:qFormat/>
    <w:uiPriority w:val="0"/>
    <w:rPr>
      <w:vertAlign w:val="superscript"/>
    </w:rPr>
  </w:style>
  <w:style w:type="character" w:customStyle="1" w:styleId="52">
    <w:name w:val="标题 3 字符"/>
    <w:link w:val="4"/>
    <w:qFormat/>
    <w:uiPriority w:val="9"/>
    <w:rPr>
      <w:rFonts w:cs="Arial"/>
      <w:b/>
      <w:bCs/>
      <w:smallCaps/>
      <w:color w:val="FF6600"/>
      <w:lang w:eastAsia="en-US"/>
    </w:rPr>
  </w:style>
  <w:style w:type="character" w:customStyle="1" w:styleId="53">
    <w:name w:val="页眉 字符"/>
    <w:link w:val="27"/>
    <w:qFormat/>
    <w:uiPriority w:val="99"/>
    <w:rPr>
      <w:kern w:val="2"/>
      <w:sz w:val="18"/>
      <w:szCs w:val="18"/>
    </w:rPr>
  </w:style>
  <w:style w:type="character" w:customStyle="1" w:styleId="54">
    <w:name w:val="标题 6 字符"/>
    <w:link w:val="7"/>
    <w:qFormat/>
    <w:uiPriority w:val="9"/>
    <w:rPr>
      <w:bCs/>
      <w:sz w:val="18"/>
      <w:lang w:eastAsia="en-US"/>
    </w:rPr>
  </w:style>
  <w:style w:type="character" w:customStyle="1" w:styleId="55">
    <w:name w:val="页脚 字符"/>
    <w:link w:val="26"/>
    <w:qFormat/>
    <w:uiPriority w:val="99"/>
    <w:rPr>
      <w:rFonts w:ascii="Calibri" w:hAnsi="Calibri"/>
      <w:kern w:val="2"/>
      <w:sz w:val="16"/>
      <w:szCs w:val="16"/>
    </w:rPr>
  </w:style>
  <w:style w:type="character" w:customStyle="1" w:styleId="56">
    <w:name w:val="标题 1 字符"/>
    <w:link w:val="2"/>
    <w:qFormat/>
    <w:uiPriority w:val="9"/>
    <w:rPr>
      <w:rFonts w:eastAsia="Arial" w:cs="Arial"/>
      <w:b/>
      <w:caps/>
      <w:color w:val="FF6600"/>
      <w:spacing w:val="20"/>
      <w:lang w:eastAsia="en-US"/>
    </w:rPr>
  </w:style>
  <w:style w:type="character" w:customStyle="1" w:styleId="57">
    <w:name w:val="批注主题 字符"/>
    <w:link w:val="41"/>
    <w:qFormat/>
    <w:uiPriority w:val="0"/>
    <w:rPr>
      <w:b/>
      <w:bCs/>
      <w:kern w:val="2"/>
      <w:lang w:eastAsia="en-US"/>
    </w:rPr>
  </w:style>
  <w:style w:type="character" w:customStyle="1" w:styleId="58">
    <w:name w:val="批注框文本 字符"/>
    <w:link w:val="25"/>
    <w:qFormat/>
    <w:uiPriority w:val="0"/>
    <w:rPr>
      <w:kern w:val="2"/>
      <w:sz w:val="18"/>
      <w:szCs w:val="18"/>
    </w:rPr>
  </w:style>
  <w:style w:type="character" w:customStyle="1" w:styleId="59">
    <w:name w:val="标题 9 字符"/>
    <w:link w:val="10"/>
    <w:qFormat/>
    <w:uiPriority w:val="9"/>
    <w:rPr>
      <w:sz w:val="18"/>
      <w:lang w:eastAsia="en-US"/>
    </w:rPr>
  </w:style>
  <w:style w:type="character" w:customStyle="1" w:styleId="60">
    <w:name w:val="批注文字 字符"/>
    <w:link w:val="16"/>
    <w:qFormat/>
    <w:uiPriority w:val="0"/>
    <w:rPr>
      <w:lang w:eastAsia="en-US"/>
    </w:rPr>
  </w:style>
  <w:style w:type="character" w:customStyle="1" w:styleId="61">
    <w:name w:val="标题 5 字符"/>
    <w:link w:val="6"/>
    <w:qFormat/>
    <w:uiPriority w:val="9"/>
    <w:rPr>
      <w:sz w:val="18"/>
      <w:szCs w:val="22"/>
      <w:lang w:eastAsia="en-US"/>
    </w:rPr>
  </w:style>
  <w:style w:type="character" w:customStyle="1" w:styleId="62">
    <w:name w:val="标题 2 字符"/>
    <w:link w:val="3"/>
    <w:qFormat/>
    <w:uiPriority w:val="9"/>
    <w:rPr>
      <w:rFonts w:eastAsia="Arial" w:cs="Arial"/>
      <w:b/>
      <w:iCs/>
      <w:smallCaps/>
      <w:color w:val="363636"/>
      <w:spacing w:val="15"/>
      <w:kern w:val="32"/>
      <w:sz w:val="22"/>
      <w:lang w:eastAsia="en-US"/>
    </w:rPr>
  </w:style>
  <w:style w:type="character" w:customStyle="1" w:styleId="63">
    <w:name w:val="op_dict_text2"/>
    <w:basedOn w:val="44"/>
    <w:qFormat/>
    <w:uiPriority w:val="0"/>
  </w:style>
  <w:style w:type="character" w:customStyle="1" w:styleId="64">
    <w:name w:val="标题 4 字符"/>
    <w:link w:val="5"/>
    <w:qFormat/>
    <w:uiPriority w:val="9"/>
    <w:rPr>
      <w:rFonts w:eastAsia="黑体"/>
      <w:bCs/>
      <w:sz w:val="18"/>
      <w:szCs w:val="28"/>
      <w:lang w:eastAsia="en-US" w:bidi="en-US"/>
    </w:rPr>
  </w:style>
  <w:style w:type="character" w:customStyle="1" w:styleId="65">
    <w:name w:val="段 Char"/>
    <w:link w:val="32"/>
    <w:qFormat/>
    <w:uiPriority w:val="0"/>
    <w:rPr>
      <w:rFonts w:ascii="宋体"/>
      <w:sz w:val="21"/>
      <w:lang w:val="en-US" w:eastAsia="zh-CN" w:bidi="ar-SA"/>
    </w:rPr>
  </w:style>
  <w:style w:type="character" w:customStyle="1" w:styleId="66">
    <w:name w:val="附录公式 Char"/>
    <w:link w:val="67"/>
    <w:qFormat/>
    <w:uiPriority w:val="0"/>
    <w:rPr>
      <w:rFonts w:ascii="宋体"/>
      <w:sz w:val="21"/>
      <w:lang w:val="en-US" w:eastAsia="zh-CN" w:bidi="ar-SA"/>
    </w:rPr>
  </w:style>
  <w:style w:type="paragraph" w:customStyle="1" w:styleId="67">
    <w:name w:val="附录公式"/>
    <w:basedOn w:val="32"/>
    <w:next w:val="32"/>
    <w:link w:val="66"/>
    <w:qFormat/>
    <w:uiPriority w:val="0"/>
  </w:style>
  <w:style w:type="character" w:customStyle="1" w:styleId="68">
    <w:name w:val="发布"/>
    <w:qFormat/>
    <w:uiPriority w:val="0"/>
    <w:rPr>
      <w:rFonts w:ascii="黑体" w:eastAsia="黑体"/>
      <w:spacing w:val="85"/>
      <w:w w:val="100"/>
      <w:position w:val="3"/>
      <w:sz w:val="28"/>
      <w:szCs w:val="28"/>
    </w:rPr>
  </w:style>
  <w:style w:type="character" w:customStyle="1" w:styleId="69">
    <w:name w:val="首示例 Char"/>
    <w:link w:val="70"/>
    <w:qFormat/>
    <w:uiPriority w:val="0"/>
    <w:rPr>
      <w:rFonts w:ascii="宋体" w:hAnsi="宋体"/>
      <w:kern w:val="2"/>
      <w:sz w:val="18"/>
      <w:szCs w:val="18"/>
      <w:lang w:val="en-US" w:eastAsia="zh-CN" w:bidi="ar-SA"/>
    </w:rPr>
  </w:style>
  <w:style w:type="paragraph" w:customStyle="1" w:styleId="70">
    <w:name w:val="首示例"/>
    <w:next w:val="32"/>
    <w:link w:val="69"/>
    <w:qFormat/>
    <w:uiPriority w:val="0"/>
    <w:pPr>
      <w:numPr>
        <w:ilvl w:val="0"/>
        <w:numId w:val="3"/>
      </w:numPr>
      <w:tabs>
        <w:tab w:val="left" w:pos="360"/>
      </w:tabs>
      <w:spacing w:after="160" w:line="259" w:lineRule="auto"/>
      <w:ind w:firstLine="0"/>
    </w:pPr>
    <w:rPr>
      <w:rFonts w:ascii="宋体" w:hAnsi="宋体" w:eastAsia="宋体" w:cs="Times New Roman"/>
      <w:kern w:val="2"/>
      <w:sz w:val="18"/>
      <w:szCs w:val="18"/>
      <w:lang w:val="en-US" w:eastAsia="zh-CN" w:bidi="ar-SA"/>
    </w:rPr>
  </w:style>
  <w:style w:type="character" w:customStyle="1" w:styleId="71">
    <w:name w:val="标题 8 字符"/>
    <w:link w:val="9"/>
    <w:qFormat/>
    <w:uiPriority w:val="9"/>
    <w:rPr>
      <w:iCs/>
      <w:sz w:val="18"/>
      <w:lang w:eastAsia="en-US"/>
    </w:rPr>
  </w:style>
  <w:style w:type="character" w:customStyle="1" w:styleId="72">
    <w:name w:val="标题 7 字符"/>
    <w:link w:val="8"/>
    <w:qFormat/>
    <w:uiPriority w:val="9"/>
    <w:rPr>
      <w:sz w:val="18"/>
      <w:lang w:eastAsia="en-US"/>
    </w:rPr>
  </w:style>
  <w:style w:type="paragraph" w:customStyle="1" w:styleId="73">
    <w:name w:val="参考文献"/>
    <w:basedOn w:val="1"/>
    <w:next w:val="3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附录五级无"/>
    <w:basedOn w:val="75"/>
    <w:qFormat/>
    <w:uiPriority w:val="0"/>
    <w:pPr>
      <w:tabs>
        <w:tab w:val="left" w:pos="360"/>
      </w:tabs>
      <w:spacing w:before="0" w:beforeLines="0" w:after="0" w:afterLines="0"/>
    </w:pPr>
    <w:rPr>
      <w:rFonts w:ascii="宋体" w:eastAsia="宋体"/>
      <w:szCs w:val="21"/>
    </w:rPr>
  </w:style>
  <w:style w:type="paragraph" w:customStyle="1" w:styleId="75">
    <w:name w:val="附录五级条标题"/>
    <w:basedOn w:val="76"/>
    <w:next w:val="32"/>
    <w:qFormat/>
    <w:uiPriority w:val="0"/>
    <w:pPr>
      <w:tabs>
        <w:tab w:val="left" w:pos="360"/>
      </w:tabs>
      <w:outlineLvl w:val="6"/>
    </w:pPr>
  </w:style>
  <w:style w:type="paragraph" w:customStyle="1" w:styleId="76">
    <w:name w:val="附录四级条标题"/>
    <w:basedOn w:val="77"/>
    <w:next w:val="32"/>
    <w:qFormat/>
    <w:uiPriority w:val="0"/>
    <w:pPr>
      <w:tabs>
        <w:tab w:val="left" w:pos="360"/>
      </w:tabs>
      <w:outlineLvl w:val="5"/>
    </w:pPr>
  </w:style>
  <w:style w:type="paragraph" w:customStyle="1" w:styleId="77">
    <w:name w:val="附录三级条标题"/>
    <w:basedOn w:val="78"/>
    <w:next w:val="32"/>
    <w:qFormat/>
    <w:uiPriority w:val="0"/>
    <w:pPr>
      <w:tabs>
        <w:tab w:val="left" w:pos="360"/>
      </w:tabs>
      <w:outlineLvl w:val="4"/>
    </w:pPr>
  </w:style>
  <w:style w:type="paragraph" w:customStyle="1" w:styleId="78">
    <w:name w:val="附录二级条标题"/>
    <w:basedOn w:val="1"/>
    <w:next w:val="32"/>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9">
    <w:name w:val="示例×："/>
    <w:basedOn w:val="80"/>
    <w:qFormat/>
    <w:uiPriority w:val="0"/>
    <w:pPr>
      <w:numPr>
        <w:ilvl w:val="0"/>
        <w:numId w:val="4"/>
      </w:numPr>
      <w:spacing w:before="0" w:beforeLines="0" w:after="0" w:afterLines="0"/>
      <w:outlineLvl w:val="9"/>
    </w:pPr>
    <w:rPr>
      <w:rFonts w:ascii="宋体" w:eastAsia="宋体"/>
      <w:sz w:val="18"/>
      <w:szCs w:val="18"/>
    </w:rPr>
  </w:style>
  <w:style w:type="paragraph" w:customStyle="1" w:styleId="80">
    <w:name w:val="章标题"/>
    <w:next w:val="32"/>
    <w:qFormat/>
    <w:uiPriority w:val="99"/>
    <w:pPr>
      <w:spacing w:before="312" w:beforeLines="100" w:after="312" w:afterLines="100" w:line="259" w:lineRule="auto"/>
      <w:jc w:val="both"/>
      <w:outlineLvl w:val="1"/>
    </w:pPr>
    <w:rPr>
      <w:rFonts w:ascii="黑体" w:hAnsi="Calibri" w:eastAsia="黑体" w:cs="Times New Roman"/>
      <w:sz w:val="21"/>
      <w:lang w:val="en-US" w:eastAsia="zh-CN" w:bidi="ar-SA"/>
    </w:rPr>
  </w:style>
  <w:style w:type="paragraph" w:customStyle="1" w:styleId="81">
    <w:name w:val="附录一级条标题"/>
    <w:basedOn w:val="82"/>
    <w:next w:val="32"/>
    <w:qFormat/>
    <w:uiPriority w:val="0"/>
    <w:pPr>
      <w:numPr>
        <w:ilvl w:val="0"/>
        <w:numId w:val="0"/>
      </w:numPr>
      <w:tabs>
        <w:tab w:val="left" w:pos="360"/>
      </w:tabs>
      <w:autoSpaceDN w:val="0"/>
      <w:spacing w:before="50" w:beforeLines="50" w:after="50" w:afterLines="50"/>
      <w:outlineLvl w:val="2"/>
    </w:pPr>
  </w:style>
  <w:style w:type="paragraph" w:customStyle="1" w:styleId="82">
    <w:name w:val="附录章标题"/>
    <w:next w:val="32"/>
    <w:qFormat/>
    <w:uiPriority w:val="0"/>
    <w:pPr>
      <w:numPr>
        <w:ilvl w:val="1"/>
        <w:numId w:val="5"/>
      </w:numPr>
      <w:tabs>
        <w:tab w:val="left" w:pos="360"/>
      </w:tabs>
      <w:wordWrap w:val="0"/>
      <w:overflowPunct w:val="0"/>
      <w:autoSpaceDE w:val="0"/>
      <w:spacing w:before="100" w:beforeLines="100" w:after="100" w:afterLines="100" w:line="259" w:lineRule="auto"/>
      <w:jc w:val="both"/>
      <w:textAlignment w:val="baseline"/>
      <w:outlineLvl w:val="1"/>
    </w:pPr>
    <w:rPr>
      <w:rFonts w:ascii="黑体" w:hAnsi="Calibri" w:eastAsia="黑体" w:cs="Times New Roman"/>
      <w:kern w:val="21"/>
      <w:sz w:val="21"/>
      <w:lang w:val="en-US" w:eastAsia="zh-CN" w:bidi="ar-SA"/>
    </w:rPr>
  </w:style>
  <w:style w:type="paragraph" w:customStyle="1" w:styleId="83">
    <w:name w:val="终结线"/>
    <w:basedOn w:val="1"/>
    <w:qFormat/>
    <w:uiPriority w:val="0"/>
    <w:pPr>
      <w:framePr w:hSpace="181" w:vSpace="181" w:wrap="around" w:vAnchor="text" w:hAnchor="margin" w:xAlign="center" w:y="285"/>
    </w:pPr>
  </w:style>
  <w:style w:type="paragraph" w:customStyle="1" w:styleId="84">
    <w:name w:val="封面标准文稿类别2"/>
    <w:basedOn w:val="85"/>
    <w:qFormat/>
    <w:uiPriority w:val="0"/>
    <w:pPr>
      <w:framePr w:wrap="around" w:y="4469"/>
    </w:pPr>
  </w:style>
  <w:style w:type="paragraph" w:customStyle="1" w:styleId="85">
    <w:name w:val="封面标准文稿类别"/>
    <w:basedOn w:val="86"/>
    <w:qFormat/>
    <w:uiPriority w:val="0"/>
    <w:pPr>
      <w:framePr w:wrap="around"/>
      <w:spacing w:line="240" w:lineRule="auto"/>
    </w:pPr>
    <w:rPr>
      <w:sz w:val="24"/>
    </w:rPr>
  </w:style>
  <w:style w:type="paragraph" w:customStyle="1" w:styleId="86">
    <w:name w:val="封面一致性程度标识"/>
    <w:basedOn w:val="87"/>
    <w:qFormat/>
    <w:uiPriority w:val="0"/>
    <w:pPr>
      <w:framePr w:wrap="around"/>
      <w:spacing w:before="440"/>
    </w:pPr>
    <w:rPr>
      <w:rFonts w:ascii="宋体" w:eastAsia="宋体"/>
    </w:rPr>
  </w:style>
  <w:style w:type="paragraph" w:customStyle="1" w:styleId="87">
    <w:name w:val="封面标准英文名称"/>
    <w:basedOn w:val="88"/>
    <w:qFormat/>
    <w:uiPriority w:val="0"/>
    <w:pPr>
      <w:framePr w:wrap="around"/>
      <w:spacing w:before="370" w:line="400" w:lineRule="exact"/>
    </w:pPr>
    <w:rPr>
      <w:rFonts w:ascii="Times New Roman"/>
      <w:sz w:val="28"/>
      <w:szCs w:val="28"/>
    </w:rPr>
  </w:style>
  <w:style w:type="paragraph" w:customStyle="1" w:styleId="88">
    <w:name w:val="封面标准名称"/>
    <w:qFormat/>
    <w:uiPriority w:val="0"/>
    <w:pPr>
      <w:framePr w:w="9639" w:h="6917" w:hRule="exact" w:wrap="around" w:vAnchor="page" w:hAnchor="page" w:xAlign="center" w:y="6408" w:anchorLock="1"/>
      <w:widowControl w:val="0"/>
      <w:spacing w:after="160" w:line="680" w:lineRule="exact"/>
      <w:jc w:val="center"/>
      <w:textAlignment w:val="center"/>
    </w:pPr>
    <w:rPr>
      <w:rFonts w:ascii="黑体" w:hAnsi="Calibri" w:eastAsia="黑体" w:cs="Times New Roman"/>
      <w:sz w:val="52"/>
      <w:lang w:val="en-US" w:eastAsia="zh-CN" w:bidi="ar-SA"/>
    </w:rPr>
  </w:style>
  <w:style w:type="paragraph" w:customStyle="1" w:styleId="89">
    <w:name w:val="示例后文字"/>
    <w:basedOn w:val="32"/>
    <w:next w:val="32"/>
    <w:qFormat/>
    <w:uiPriority w:val="0"/>
    <w:pPr>
      <w:ind w:firstLine="360"/>
    </w:pPr>
    <w:rPr>
      <w:sz w:val="18"/>
    </w:rPr>
  </w:style>
  <w:style w:type="paragraph" w:customStyle="1" w:styleId="90">
    <w:name w:val="列项说明数字编号"/>
    <w:qFormat/>
    <w:uiPriority w:val="0"/>
    <w:pPr>
      <w:spacing w:after="160" w:line="259" w:lineRule="auto"/>
      <w:ind w:left="600" w:leftChars="400" w:hanging="200" w:hangingChars="200"/>
    </w:pPr>
    <w:rPr>
      <w:rFonts w:ascii="宋体" w:hAnsi="Calibri" w:eastAsia="宋体" w:cs="Times New Roman"/>
      <w:sz w:val="21"/>
      <w:lang w:val="en-US" w:eastAsia="zh-CN" w:bidi="ar-SA"/>
    </w:rPr>
  </w:style>
  <w:style w:type="paragraph" w:customStyle="1" w:styleId="91">
    <w:name w:val="列项——（一级）"/>
    <w:qFormat/>
    <w:uiPriority w:val="0"/>
    <w:pPr>
      <w:widowControl w:val="0"/>
      <w:numPr>
        <w:ilvl w:val="0"/>
        <w:numId w:val="6"/>
      </w:numPr>
      <w:spacing w:after="160" w:line="259" w:lineRule="auto"/>
      <w:jc w:val="both"/>
    </w:pPr>
    <w:rPr>
      <w:rFonts w:ascii="宋体" w:hAnsi="Calibri" w:eastAsia="宋体" w:cs="Times New Roman"/>
      <w:sz w:val="21"/>
      <w:lang w:val="en-US" w:eastAsia="zh-CN" w:bidi="ar-SA"/>
    </w:rPr>
  </w:style>
  <w:style w:type="paragraph" w:customStyle="1" w:styleId="92">
    <w:name w:val="附录字母编号列项（一级）"/>
    <w:qFormat/>
    <w:uiPriority w:val="0"/>
    <w:pPr>
      <w:numPr>
        <w:ilvl w:val="0"/>
        <w:numId w:val="7"/>
      </w:numPr>
      <w:spacing w:after="160" w:line="259" w:lineRule="auto"/>
    </w:pPr>
    <w:rPr>
      <w:rFonts w:ascii="宋体" w:hAnsi="Calibri" w:eastAsia="宋体" w:cs="Times New Roman"/>
      <w:sz w:val="21"/>
      <w:lang w:val="en-US" w:eastAsia="zh-CN" w:bidi="ar-SA"/>
    </w:rPr>
  </w:style>
  <w:style w:type="paragraph" w:customStyle="1" w:styleId="93">
    <w:name w:val="字母编号列项（一级）"/>
    <w:qFormat/>
    <w:uiPriority w:val="0"/>
    <w:pPr>
      <w:numPr>
        <w:ilvl w:val="0"/>
        <w:numId w:val="8"/>
      </w:numPr>
      <w:spacing w:after="160" w:line="259" w:lineRule="auto"/>
      <w:jc w:val="both"/>
    </w:pPr>
    <w:rPr>
      <w:rFonts w:ascii="宋体" w:hAnsi="Calibri" w:eastAsia="宋体" w:cs="Times New Roman"/>
      <w:sz w:val="21"/>
      <w:lang w:val="en-US" w:eastAsia="zh-CN" w:bidi="ar-SA"/>
    </w:rPr>
  </w:style>
  <w:style w:type="paragraph" w:customStyle="1" w:styleId="94">
    <w:name w:val="编号列项（三级）"/>
    <w:qFormat/>
    <w:uiPriority w:val="0"/>
    <w:pPr>
      <w:numPr>
        <w:ilvl w:val="2"/>
        <w:numId w:val="8"/>
      </w:numPr>
      <w:spacing w:after="160" w:line="259" w:lineRule="auto"/>
    </w:pPr>
    <w:rPr>
      <w:rFonts w:ascii="宋体" w:hAnsi="Calibri" w:eastAsia="宋体" w:cs="Times New Roman"/>
      <w:sz w:val="21"/>
      <w:lang w:val="en-US" w:eastAsia="zh-CN" w:bidi="ar-SA"/>
    </w:rPr>
  </w:style>
  <w:style w:type="paragraph" w:customStyle="1" w:styleId="95">
    <w:name w:val="二级条标题"/>
    <w:basedOn w:val="96"/>
    <w:next w:val="32"/>
    <w:qFormat/>
    <w:uiPriority w:val="0"/>
    <w:pPr>
      <w:spacing w:before="50" w:after="50"/>
      <w:outlineLvl w:val="3"/>
    </w:pPr>
  </w:style>
  <w:style w:type="paragraph" w:customStyle="1" w:styleId="96">
    <w:name w:val="一级条标题"/>
    <w:next w:val="32"/>
    <w:qFormat/>
    <w:uiPriority w:val="0"/>
    <w:pPr>
      <w:spacing w:before="156" w:beforeLines="50" w:after="156" w:afterLines="50" w:line="259" w:lineRule="auto"/>
      <w:outlineLvl w:val="2"/>
    </w:pPr>
    <w:rPr>
      <w:rFonts w:ascii="黑体" w:hAnsi="Calibri" w:eastAsia="黑体" w:cs="Times New Roman"/>
      <w:sz w:val="21"/>
      <w:szCs w:val="21"/>
      <w:lang w:val="en-US" w:eastAsia="zh-CN" w:bidi="ar-SA"/>
    </w:rPr>
  </w:style>
  <w:style w:type="paragraph" w:customStyle="1" w:styleId="97">
    <w:name w:val="实施日期"/>
    <w:basedOn w:val="98"/>
    <w:qFormat/>
    <w:uiPriority w:val="0"/>
    <w:pPr>
      <w:framePr w:wrap="around" w:vAnchor="page" w:hAnchor="text"/>
      <w:jc w:val="right"/>
    </w:pPr>
  </w:style>
  <w:style w:type="paragraph" w:customStyle="1" w:styleId="98">
    <w:name w:val="发布日期"/>
    <w:qFormat/>
    <w:uiPriority w:val="0"/>
    <w:pPr>
      <w:framePr w:w="3997" w:h="471" w:hRule="exact" w:vSpace="181" w:wrap="around" w:vAnchor="margin" w:hAnchor="page" w:x="7089" w:y="14097" w:anchorLock="1"/>
      <w:spacing w:after="160" w:line="259" w:lineRule="auto"/>
    </w:pPr>
    <w:rPr>
      <w:rFonts w:ascii="Calibri" w:hAnsi="Calibri" w:eastAsia="黑体" w:cs="Times New Roman"/>
      <w:sz w:val="28"/>
      <w:lang w:val="en-US" w:eastAsia="zh-CN" w:bidi="ar-SA"/>
    </w:rPr>
  </w:style>
  <w:style w:type="paragraph" w:customStyle="1" w:styleId="99">
    <w:name w:val="列项◆（三级）"/>
    <w:basedOn w:val="1"/>
    <w:qFormat/>
    <w:uiPriority w:val="0"/>
    <w:pPr>
      <w:numPr>
        <w:ilvl w:val="2"/>
        <w:numId w:val="6"/>
      </w:numPr>
    </w:pPr>
    <w:rPr>
      <w:rFonts w:ascii="宋体"/>
      <w:szCs w:val="21"/>
    </w:rPr>
  </w:style>
  <w:style w:type="paragraph" w:customStyle="1" w:styleId="100">
    <w:name w:val="封面标准文稿编辑信息"/>
    <w:basedOn w:val="85"/>
    <w:qFormat/>
    <w:uiPriority w:val="0"/>
    <w:pPr>
      <w:framePr w:wrap="around"/>
      <w:spacing w:before="180" w:line="180" w:lineRule="exact"/>
    </w:pPr>
    <w:rPr>
      <w:sz w:val="21"/>
    </w:rPr>
  </w:style>
  <w:style w:type="paragraph" w:customStyle="1" w:styleId="101">
    <w:name w:val="一级无"/>
    <w:basedOn w:val="96"/>
    <w:qFormat/>
    <w:uiPriority w:val="0"/>
    <w:pPr>
      <w:spacing w:before="0" w:beforeLines="0" w:after="0" w:afterLines="0"/>
    </w:pPr>
    <w:rPr>
      <w:rFonts w:ascii="宋体" w:eastAsia="宋体"/>
    </w:rPr>
  </w:style>
  <w:style w:type="paragraph" w:customStyle="1" w:styleId="102">
    <w:name w:val="正文公式编号制表符"/>
    <w:basedOn w:val="32"/>
    <w:next w:val="32"/>
    <w:qFormat/>
    <w:uiPriority w:val="0"/>
    <w:pPr>
      <w:ind w:firstLine="0" w:firstLineChars="0"/>
    </w:pPr>
  </w:style>
  <w:style w:type="paragraph" w:customStyle="1" w:styleId="103">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4">
    <w:name w:val="标准书脚_奇数页"/>
    <w:qFormat/>
    <w:uiPriority w:val="0"/>
    <w:pPr>
      <w:spacing w:before="120" w:after="160" w:line="259" w:lineRule="auto"/>
      <w:ind w:right="198"/>
      <w:jc w:val="right"/>
    </w:pPr>
    <w:rPr>
      <w:rFonts w:ascii="宋体" w:hAnsi="Calibri" w:eastAsia="宋体" w:cs="Times New Roman"/>
      <w:sz w:val="18"/>
      <w:szCs w:val="18"/>
      <w:lang w:val="en-US" w:eastAsia="zh-CN" w:bidi="ar-SA"/>
    </w:rPr>
  </w:style>
  <w:style w:type="paragraph" w:customStyle="1" w:styleId="105">
    <w:name w:val="四级条标题"/>
    <w:basedOn w:val="106"/>
    <w:next w:val="32"/>
    <w:qFormat/>
    <w:uiPriority w:val="0"/>
    <w:pPr>
      <w:outlineLvl w:val="5"/>
    </w:pPr>
  </w:style>
  <w:style w:type="paragraph" w:customStyle="1" w:styleId="106">
    <w:name w:val="三级条标题"/>
    <w:basedOn w:val="95"/>
    <w:next w:val="32"/>
    <w:qFormat/>
    <w:uiPriority w:val="0"/>
    <w:pPr>
      <w:outlineLvl w:val="4"/>
    </w:pPr>
  </w:style>
  <w:style w:type="paragraph" w:customStyle="1" w:styleId="107">
    <w:name w:val="五级条标题"/>
    <w:basedOn w:val="105"/>
    <w:next w:val="32"/>
    <w:qFormat/>
    <w:uiPriority w:val="0"/>
    <w:pPr>
      <w:outlineLvl w:val="6"/>
    </w:pPr>
  </w:style>
  <w:style w:type="paragraph" w:customStyle="1" w:styleId="108">
    <w:name w:val="附录公式编号制表符"/>
    <w:basedOn w:val="1"/>
    <w:next w:val="32"/>
    <w:qFormat/>
    <w:uiPriority w:val="0"/>
    <w:pPr>
      <w:widowControl/>
      <w:tabs>
        <w:tab w:val="center" w:pos="4201"/>
        <w:tab w:val="right" w:leader="dot" w:pos="9298"/>
      </w:tabs>
      <w:autoSpaceDE w:val="0"/>
      <w:autoSpaceDN w:val="0"/>
    </w:pPr>
    <w:rPr>
      <w:rFonts w:ascii="宋体"/>
      <w:kern w:val="0"/>
      <w:szCs w:val="20"/>
    </w:rPr>
  </w:style>
  <w:style w:type="paragraph" w:styleId="109">
    <w:name w:val="List Paragraph"/>
    <w:basedOn w:val="1"/>
    <w:qFormat/>
    <w:uiPriority w:val="1"/>
    <w:pPr>
      <w:widowControl/>
      <w:numPr>
        <w:ilvl w:val="0"/>
        <w:numId w:val="10"/>
      </w:numPr>
      <w:spacing w:before="156" w:beforeLines="50" w:after="156" w:afterLines="50" w:line="360" w:lineRule="auto"/>
      <w:ind w:left="0" w:firstLine="0" w:firstLineChars="0"/>
      <w:outlineLvl w:val="1"/>
    </w:pPr>
    <w:rPr>
      <w:rFonts w:ascii="黑体" w:hAnsi="黑体" w:eastAsia="黑体"/>
      <w:kern w:val="0"/>
      <w:szCs w:val="21"/>
      <w:lang w:eastAsia="en-US"/>
    </w:rPr>
  </w:style>
  <w:style w:type="paragraph" w:customStyle="1" w:styleId="110">
    <w:name w:val="附录标题"/>
    <w:basedOn w:val="32"/>
    <w:next w:val="32"/>
    <w:qFormat/>
    <w:uiPriority w:val="0"/>
    <w:pPr>
      <w:ind w:firstLine="0" w:firstLineChars="0"/>
      <w:jc w:val="center"/>
    </w:pPr>
    <w:rPr>
      <w:rFonts w:ascii="黑体" w:eastAsia="黑体"/>
    </w:rPr>
  </w:style>
  <w:style w:type="paragraph" w:customStyle="1" w:styleId="111">
    <w:name w:val="附录一级无"/>
    <w:basedOn w:val="81"/>
    <w:qFormat/>
    <w:uiPriority w:val="0"/>
    <w:pPr>
      <w:spacing w:before="0" w:beforeLines="0" w:after="0" w:afterLines="0"/>
    </w:pPr>
    <w:rPr>
      <w:rFonts w:ascii="宋体" w:eastAsia="宋体"/>
      <w:szCs w:val="21"/>
    </w:rPr>
  </w:style>
  <w:style w:type="paragraph" w:customStyle="1" w:styleId="112">
    <w:name w:val="标准书脚_偶数页"/>
    <w:qFormat/>
    <w:uiPriority w:val="0"/>
    <w:pPr>
      <w:spacing w:before="120" w:after="160" w:line="259" w:lineRule="auto"/>
      <w:ind w:left="221"/>
    </w:pPr>
    <w:rPr>
      <w:rFonts w:ascii="宋体" w:hAnsi="Calibri" w:eastAsia="宋体" w:cs="Times New Roman"/>
      <w:sz w:val="18"/>
      <w:szCs w:val="18"/>
      <w:lang w:val="en-US" w:eastAsia="zh-CN" w:bidi="ar-SA"/>
    </w:rPr>
  </w:style>
  <w:style w:type="paragraph" w:customStyle="1" w:styleId="113">
    <w:name w:val="文献分类号"/>
    <w:qFormat/>
    <w:uiPriority w:val="0"/>
    <w:pPr>
      <w:framePr w:hSpace="180" w:vSpace="180" w:wrap="around" w:vAnchor="margin" w:hAnchor="margin" w:y="1" w:anchorLock="1"/>
      <w:widowControl w:val="0"/>
      <w:spacing w:after="160" w:line="259" w:lineRule="auto"/>
      <w:textAlignment w:val="center"/>
    </w:pPr>
    <w:rPr>
      <w:rFonts w:ascii="黑体" w:hAnsi="Calibri" w:eastAsia="黑体" w:cs="Times New Roman"/>
      <w:sz w:val="21"/>
      <w:szCs w:val="21"/>
      <w:lang w:val="en-US" w:eastAsia="zh-CN" w:bidi="ar-SA"/>
    </w:rPr>
  </w:style>
  <w:style w:type="paragraph" w:customStyle="1" w:styleId="114">
    <w:name w:val="列项●（二级）"/>
    <w:qFormat/>
    <w:uiPriority w:val="0"/>
    <w:pPr>
      <w:numPr>
        <w:ilvl w:val="1"/>
        <w:numId w:val="6"/>
      </w:numPr>
      <w:tabs>
        <w:tab w:val="left" w:pos="840"/>
      </w:tabs>
      <w:spacing w:after="160" w:line="259" w:lineRule="auto"/>
      <w:jc w:val="both"/>
    </w:pPr>
    <w:rPr>
      <w:rFonts w:ascii="宋体" w:hAnsi="Calibri" w:eastAsia="宋体" w:cs="Times New Roman"/>
      <w:sz w:val="21"/>
      <w:lang w:val="en-US" w:eastAsia="zh-CN" w:bidi="ar-SA"/>
    </w:rPr>
  </w:style>
  <w:style w:type="paragraph" w:customStyle="1" w:styleId="115">
    <w:name w:val="参考文献、索引标题"/>
    <w:basedOn w:val="1"/>
    <w:next w:val="3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6">
    <w:name w:val="四级无"/>
    <w:basedOn w:val="105"/>
    <w:qFormat/>
    <w:uiPriority w:val="0"/>
    <w:pPr>
      <w:spacing w:before="0" w:beforeLines="0" w:after="0" w:afterLines="0"/>
    </w:pPr>
    <w:rPr>
      <w:rFonts w:ascii="宋体" w:eastAsia="宋体"/>
    </w:rPr>
  </w:style>
  <w:style w:type="paragraph" w:customStyle="1" w:styleId="117">
    <w:name w:val="附录标识"/>
    <w:basedOn w:val="1"/>
    <w:next w:val="32"/>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8">
    <w:name w:val="发布部门"/>
    <w:next w:val="32"/>
    <w:qFormat/>
    <w:uiPriority w:val="0"/>
    <w:pPr>
      <w:framePr w:w="7938" w:h="1134" w:hRule="exact" w:hSpace="125" w:vSpace="181" w:wrap="around" w:vAnchor="page" w:hAnchor="page" w:x="2150" w:y="14630" w:anchorLock="1"/>
      <w:spacing w:after="160" w:line="259" w:lineRule="auto"/>
      <w:jc w:val="center"/>
    </w:pPr>
    <w:rPr>
      <w:rFonts w:ascii="宋体" w:hAnsi="Calibri" w:eastAsia="宋体" w:cs="Times New Roman"/>
      <w:b/>
      <w:spacing w:val="20"/>
      <w:w w:val="135"/>
      <w:sz w:val="28"/>
      <w:lang w:val="en-US" w:eastAsia="zh-CN" w:bidi="ar-SA"/>
    </w:rPr>
  </w:style>
  <w:style w:type="paragraph" w:customStyle="1" w:styleId="119">
    <w:name w:val="其他标准标志"/>
    <w:basedOn w:val="120"/>
    <w:qFormat/>
    <w:uiPriority w:val="0"/>
    <w:pPr>
      <w:framePr w:w="6101" w:wrap="around" w:vAnchor="page" w:hAnchor="page" w:x="4673" w:y="942"/>
    </w:pPr>
    <w:rPr>
      <w:w w:val="130"/>
    </w:rPr>
  </w:style>
  <w:style w:type="paragraph" w:customStyle="1" w:styleId="120">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Calibri" w:hAnsi="Calibri" w:eastAsia="宋体" w:cs="Times New Roman"/>
      <w:b/>
      <w:w w:val="170"/>
      <w:sz w:val="96"/>
      <w:szCs w:val="96"/>
      <w:lang w:val="en-US" w:eastAsia="zh-CN" w:bidi="ar-SA"/>
    </w:rPr>
  </w:style>
  <w:style w:type="paragraph" w:customStyle="1" w:styleId="12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Calibri" w:eastAsia="宋体" w:cs="Times New Roman"/>
      <w:b/>
      <w:bCs/>
      <w:spacing w:val="20"/>
      <w:w w:val="148"/>
      <w:sz w:val="48"/>
      <w:lang w:val="en-US" w:eastAsia="zh-CN" w:bidi="ar-SA"/>
    </w:rPr>
  </w:style>
  <w:style w:type="paragraph" w:customStyle="1" w:styleId="122">
    <w:name w:val="图的脚注"/>
    <w:next w:val="32"/>
    <w:qFormat/>
    <w:uiPriority w:val="0"/>
    <w:pPr>
      <w:widowControl w:val="0"/>
      <w:spacing w:after="160" w:line="259" w:lineRule="auto"/>
      <w:ind w:left="840" w:leftChars="200" w:hanging="420" w:hangingChars="200"/>
      <w:jc w:val="both"/>
    </w:pPr>
    <w:rPr>
      <w:rFonts w:ascii="宋体" w:hAnsi="Calibri" w:eastAsia="宋体" w:cs="Times New Roman"/>
      <w:sz w:val="18"/>
      <w:lang w:val="en-US" w:eastAsia="zh-CN" w:bidi="ar-SA"/>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注×：（正文）"/>
    <w:qFormat/>
    <w:uiPriority w:val="0"/>
    <w:pPr>
      <w:numPr>
        <w:ilvl w:val="0"/>
        <w:numId w:val="11"/>
      </w:numPr>
      <w:spacing w:after="160" w:line="259" w:lineRule="auto"/>
      <w:jc w:val="both"/>
    </w:pPr>
    <w:rPr>
      <w:rFonts w:ascii="宋体" w:hAnsi="Calibri" w:eastAsia="宋体" w:cs="Times New Roman"/>
      <w:sz w:val="18"/>
      <w:szCs w:val="18"/>
      <w:lang w:val="en-US" w:eastAsia="zh-CN" w:bidi="ar-SA"/>
    </w:rPr>
  </w:style>
  <w:style w:type="paragraph" w:customStyle="1" w:styleId="125">
    <w:name w:val="标准书眉_奇数页"/>
    <w:next w:val="1"/>
    <w:qFormat/>
    <w:uiPriority w:val="0"/>
    <w:pPr>
      <w:tabs>
        <w:tab w:val="center" w:pos="4154"/>
        <w:tab w:val="right" w:pos="8306"/>
      </w:tabs>
      <w:spacing w:after="220" w:line="259" w:lineRule="auto"/>
      <w:jc w:val="right"/>
    </w:pPr>
    <w:rPr>
      <w:rFonts w:ascii="黑体" w:hAnsi="Calibri" w:eastAsia="黑体" w:cs="Times New Roman"/>
      <w:sz w:val="21"/>
      <w:szCs w:val="21"/>
      <w:lang w:val="en-US" w:eastAsia="zh-CN" w:bidi="ar-SA"/>
    </w:rPr>
  </w:style>
  <w:style w:type="paragraph" w:customStyle="1" w:styleId="126">
    <w:name w:val="三级无"/>
    <w:basedOn w:val="106"/>
    <w:qFormat/>
    <w:uiPriority w:val="0"/>
    <w:pPr>
      <w:spacing w:before="0" w:beforeLines="0" w:after="0" w:afterLines="0"/>
    </w:pPr>
    <w:rPr>
      <w:rFonts w:ascii="宋体" w:eastAsia="宋体"/>
    </w:rPr>
  </w:style>
  <w:style w:type="paragraph" w:customStyle="1" w:styleId="127">
    <w:name w:val="图标脚注说明"/>
    <w:basedOn w:val="32"/>
    <w:qFormat/>
    <w:uiPriority w:val="0"/>
    <w:pPr>
      <w:ind w:left="840" w:hanging="420" w:firstLineChars="0"/>
    </w:pPr>
    <w:rPr>
      <w:sz w:val="18"/>
      <w:szCs w:val="18"/>
    </w:rPr>
  </w:style>
  <w:style w:type="paragraph" w:customStyle="1" w:styleId="128">
    <w:name w:val="封面标准号2"/>
    <w:qFormat/>
    <w:uiPriority w:val="0"/>
    <w:pPr>
      <w:framePr w:w="9140" w:h="1242" w:hRule="exact" w:hSpace="284" w:wrap="around" w:vAnchor="page" w:hAnchor="page" w:x="1645" w:y="2910" w:anchorLock="1"/>
      <w:spacing w:before="357" w:after="160" w:line="280" w:lineRule="exact"/>
      <w:jc w:val="right"/>
    </w:pPr>
    <w:rPr>
      <w:rFonts w:ascii="黑体" w:hAnsi="Calibri" w:eastAsia="黑体" w:cs="Times New Roman"/>
      <w:sz w:val="28"/>
      <w:szCs w:val="28"/>
      <w:lang w:val="en-US" w:eastAsia="zh-CN" w:bidi="ar-SA"/>
    </w:rPr>
  </w:style>
  <w:style w:type="paragraph" w:customStyle="1" w:styleId="129">
    <w:name w:val="条文脚注"/>
    <w:basedOn w:val="33"/>
    <w:qFormat/>
    <w:uiPriority w:val="0"/>
    <w:pPr>
      <w:numPr>
        <w:numId w:val="0"/>
      </w:numPr>
      <w:jc w:val="both"/>
    </w:pPr>
  </w:style>
  <w:style w:type="paragraph" w:customStyle="1" w:styleId="130">
    <w:name w:val="附录三级无"/>
    <w:basedOn w:val="77"/>
    <w:qFormat/>
    <w:uiPriority w:val="0"/>
    <w:pPr>
      <w:tabs>
        <w:tab w:val="clear" w:pos="360"/>
      </w:tabs>
      <w:spacing w:before="0" w:beforeLines="0" w:after="0" w:afterLines="0"/>
    </w:pPr>
    <w:rPr>
      <w:rFonts w:ascii="宋体" w:eastAsia="宋体"/>
      <w:szCs w:val="21"/>
    </w:rPr>
  </w:style>
  <w:style w:type="paragraph" w:customStyle="1" w:styleId="131">
    <w:name w:val="示例内容"/>
    <w:qFormat/>
    <w:uiPriority w:val="0"/>
    <w:pPr>
      <w:spacing w:after="160" w:line="259" w:lineRule="auto"/>
      <w:ind w:firstLine="200" w:firstLineChars="200"/>
    </w:pPr>
    <w:rPr>
      <w:rFonts w:ascii="宋体" w:hAnsi="Calibri" w:eastAsia="宋体" w:cs="Times New Roman"/>
      <w:sz w:val="18"/>
      <w:szCs w:val="18"/>
      <w:lang w:val="en-US" w:eastAsia="zh-CN" w:bidi="ar-SA"/>
    </w:rPr>
  </w:style>
  <w:style w:type="paragraph" w:customStyle="1" w:styleId="132">
    <w:name w:val="标准书眉_偶数页"/>
    <w:basedOn w:val="125"/>
    <w:next w:val="1"/>
    <w:qFormat/>
    <w:uiPriority w:val="0"/>
    <w:pPr>
      <w:jc w:val="left"/>
    </w:pPr>
  </w:style>
  <w:style w:type="paragraph" w:customStyle="1" w:styleId="133">
    <w:name w:val="注：（正文）"/>
    <w:basedOn w:val="134"/>
    <w:next w:val="32"/>
    <w:qFormat/>
    <w:uiPriority w:val="0"/>
  </w:style>
  <w:style w:type="paragraph" w:customStyle="1" w:styleId="134">
    <w:name w:val="注："/>
    <w:next w:val="32"/>
    <w:qFormat/>
    <w:uiPriority w:val="0"/>
    <w:pPr>
      <w:widowControl w:val="0"/>
      <w:numPr>
        <w:ilvl w:val="0"/>
        <w:numId w:val="12"/>
      </w:numPr>
      <w:autoSpaceDE w:val="0"/>
      <w:autoSpaceDN w:val="0"/>
      <w:spacing w:after="160" w:line="259" w:lineRule="auto"/>
      <w:jc w:val="both"/>
    </w:pPr>
    <w:rPr>
      <w:rFonts w:ascii="宋体" w:hAnsi="Calibri" w:eastAsia="宋体" w:cs="Times New Roman"/>
      <w:sz w:val="18"/>
      <w:szCs w:val="18"/>
      <w:lang w:val="en-US" w:eastAsia="zh-CN" w:bidi="ar-SA"/>
    </w:rPr>
  </w:style>
  <w:style w:type="paragraph" w:customStyle="1" w:styleId="135">
    <w:name w:val="五级无"/>
    <w:basedOn w:val="107"/>
    <w:qFormat/>
    <w:uiPriority w:val="0"/>
    <w:pPr>
      <w:spacing w:before="0" w:beforeLines="0" w:after="0" w:afterLines="0"/>
    </w:pPr>
    <w:rPr>
      <w:rFonts w:ascii="宋体" w:eastAsia="宋体"/>
    </w:rPr>
  </w:style>
  <w:style w:type="paragraph" w:customStyle="1" w:styleId="136">
    <w:name w:val="封面一致性程度标识2"/>
    <w:basedOn w:val="86"/>
    <w:qFormat/>
    <w:uiPriority w:val="0"/>
    <w:pPr>
      <w:framePr w:wrap="around" w:y="4469"/>
    </w:pPr>
  </w:style>
  <w:style w:type="paragraph" w:customStyle="1" w:styleId="137">
    <w:name w:val="封面正文"/>
    <w:qFormat/>
    <w:uiPriority w:val="0"/>
    <w:pPr>
      <w:spacing w:after="160" w:line="259" w:lineRule="auto"/>
      <w:jc w:val="both"/>
    </w:pPr>
    <w:rPr>
      <w:rFonts w:ascii="Calibri" w:hAnsi="Calibri" w:eastAsia="宋体" w:cs="Times New Roman"/>
      <w:lang w:val="en-US" w:eastAsia="zh-CN" w:bidi="ar-SA"/>
    </w:rPr>
  </w:style>
  <w:style w:type="paragraph" w:customStyle="1" w:styleId="138">
    <w:name w:val="示例"/>
    <w:next w:val="131"/>
    <w:qFormat/>
    <w:uiPriority w:val="0"/>
    <w:pPr>
      <w:widowControl w:val="0"/>
      <w:numPr>
        <w:ilvl w:val="0"/>
        <w:numId w:val="13"/>
      </w:numPr>
      <w:spacing w:after="160" w:line="259" w:lineRule="auto"/>
      <w:jc w:val="both"/>
    </w:pPr>
    <w:rPr>
      <w:rFonts w:ascii="宋体" w:hAnsi="Calibri" w:eastAsia="宋体" w:cs="Times New Roman"/>
      <w:sz w:val="18"/>
      <w:szCs w:val="18"/>
      <w:lang w:val="en-US" w:eastAsia="zh-CN" w:bidi="ar-SA"/>
    </w:rPr>
  </w:style>
  <w:style w:type="paragraph" w:customStyle="1" w:styleId="139">
    <w:name w:val="封面标准英文名称2"/>
    <w:basedOn w:val="87"/>
    <w:qFormat/>
    <w:uiPriority w:val="0"/>
    <w:pPr>
      <w:framePr w:wrap="around" w:y="4469"/>
    </w:pPr>
  </w:style>
  <w:style w:type="paragraph" w:customStyle="1" w:styleId="140">
    <w:name w:val="标准书眉一"/>
    <w:qFormat/>
    <w:uiPriority w:val="0"/>
    <w:pPr>
      <w:spacing w:after="160" w:line="259" w:lineRule="auto"/>
      <w:jc w:val="both"/>
    </w:pPr>
    <w:rPr>
      <w:rFonts w:ascii="Calibri" w:hAnsi="Calibri" w:eastAsia="宋体" w:cs="Times New Roman"/>
      <w:lang w:val="en-US" w:eastAsia="zh-CN" w:bidi="ar-SA"/>
    </w:rPr>
  </w:style>
  <w:style w:type="paragraph" w:customStyle="1" w:styleId="141">
    <w:name w:val="目次、标准名称标题"/>
    <w:basedOn w:val="1"/>
    <w:next w:val="3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2">
    <w:name w:val="前言、引言标题"/>
    <w:next w:val="32"/>
    <w:qFormat/>
    <w:uiPriority w:val="0"/>
    <w:pPr>
      <w:keepNext/>
      <w:pageBreakBefore/>
      <w:shd w:val="clear" w:color="FFFFFF" w:fill="FFFFFF"/>
      <w:spacing w:before="640" w:after="560" w:line="259" w:lineRule="auto"/>
      <w:jc w:val="center"/>
      <w:outlineLvl w:val="0"/>
    </w:pPr>
    <w:rPr>
      <w:rFonts w:ascii="黑体" w:hAnsi="Calibri" w:eastAsia="黑体" w:cs="Times New Roman"/>
      <w:sz w:val="32"/>
      <w:lang w:val="en-US" w:eastAsia="zh-CN" w:bidi="ar-SA"/>
    </w:rPr>
  </w:style>
  <w:style w:type="paragraph" w:customStyle="1" w:styleId="143">
    <w:name w:val="封面标准名称2"/>
    <w:basedOn w:val="88"/>
    <w:qFormat/>
    <w:uiPriority w:val="0"/>
    <w:pPr>
      <w:framePr w:wrap="around" w:y="4469"/>
      <w:spacing w:before="630" w:beforeLines="630"/>
    </w:pPr>
  </w:style>
  <w:style w:type="paragraph" w:customStyle="1" w:styleId="144">
    <w:name w:val="目次、索引正文"/>
    <w:qFormat/>
    <w:uiPriority w:val="0"/>
    <w:pPr>
      <w:spacing w:after="160" w:line="320" w:lineRule="exact"/>
      <w:jc w:val="both"/>
    </w:pPr>
    <w:rPr>
      <w:rFonts w:ascii="宋体" w:hAnsi="Calibri" w:eastAsia="宋体" w:cs="Times New Roman"/>
      <w:sz w:val="21"/>
      <w:lang w:val="en-US" w:eastAsia="zh-CN" w:bidi="ar-SA"/>
    </w:rPr>
  </w:style>
  <w:style w:type="paragraph" w:customStyle="1" w:styleId="145">
    <w:name w:val="正文图标题"/>
    <w:next w:val="32"/>
    <w:qFormat/>
    <w:uiPriority w:val="0"/>
    <w:pPr>
      <w:numPr>
        <w:ilvl w:val="0"/>
        <w:numId w:val="14"/>
      </w:numPr>
      <w:tabs>
        <w:tab w:val="left" w:pos="360"/>
      </w:tabs>
      <w:spacing w:before="156" w:beforeLines="50" w:after="156" w:afterLines="50" w:line="259" w:lineRule="auto"/>
      <w:jc w:val="center"/>
    </w:pPr>
    <w:rPr>
      <w:rFonts w:ascii="黑体" w:hAnsi="Calibri" w:eastAsia="黑体" w:cs="Times New Roman"/>
      <w:sz w:val="21"/>
      <w:lang w:val="en-US" w:eastAsia="zh-CN" w:bidi="ar-SA"/>
    </w:rPr>
  </w:style>
  <w:style w:type="paragraph" w:customStyle="1" w:styleId="146">
    <w:name w:val="附录表标题"/>
    <w:basedOn w:val="1"/>
    <w:next w:val="32"/>
    <w:qFormat/>
    <w:uiPriority w:val="0"/>
    <w:pPr>
      <w:numPr>
        <w:ilvl w:val="1"/>
        <w:numId w:val="15"/>
      </w:numPr>
      <w:tabs>
        <w:tab w:val="left" w:pos="180"/>
      </w:tabs>
      <w:spacing w:before="50" w:beforeLines="50" w:after="50" w:afterLines="50"/>
      <w:ind w:left="0" w:firstLine="0"/>
      <w:jc w:val="center"/>
    </w:pPr>
    <w:rPr>
      <w:rFonts w:ascii="黑体" w:eastAsia="黑体"/>
      <w:szCs w:val="21"/>
    </w:rPr>
  </w:style>
  <w:style w:type="paragraph" w:customStyle="1" w:styleId="147">
    <w:name w:val="其他发布日期"/>
    <w:basedOn w:val="98"/>
    <w:qFormat/>
    <w:uiPriority w:val="0"/>
    <w:pPr>
      <w:framePr w:wrap="around" w:vAnchor="page" w:hAnchor="text" w:x="1419"/>
    </w:pPr>
  </w:style>
  <w:style w:type="paragraph" w:customStyle="1" w:styleId="148">
    <w:name w:val="其他发布部门"/>
    <w:basedOn w:val="118"/>
    <w:qFormat/>
    <w:uiPriority w:val="0"/>
    <w:pPr>
      <w:framePr w:wrap="around" w:y="15310"/>
      <w:spacing w:line="0" w:lineRule="atLeast"/>
    </w:pPr>
    <w:rPr>
      <w:rFonts w:ascii="黑体" w:eastAsia="黑体"/>
      <w:b w:val="0"/>
    </w:rPr>
  </w:style>
  <w:style w:type="paragraph" w:customStyle="1" w:styleId="149">
    <w:name w:val="正文表标题"/>
    <w:next w:val="32"/>
    <w:qFormat/>
    <w:uiPriority w:val="0"/>
    <w:pPr>
      <w:numPr>
        <w:ilvl w:val="0"/>
        <w:numId w:val="16"/>
      </w:numPr>
      <w:tabs>
        <w:tab w:val="left" w:pos="360"/>
      </w:tabs>
      <w:spacing w:before="156" w:beforeLines="50" w:after="156" w:afterLines="50" w:line="259" w:lineRule="auto"/>
      <w:jc w:val="center"/>
    </w:pPr>
    <w:rPr>
      <w:rFonts w:ascii="黑体" w:hAnsi="Calibri" w:eastAsia="黑体" w:cs="Times New Roman"/>
      <w:sz w:val="21"/>
      <w:lang w:val="en-US" w:eastAsia="zh-CN" w:bidi="ar-SA"/>
    </w:rPr>
  </w:style>
  <w:style w:type="paragraph" w:customStyle="1" w:styleId="150">
    <w:name w:val="附录数字编号列项（二级）"/>
    <w:qFormat/>
    <w:uiPriority w:val="0"/>
    <w:pPr>
      <w:numPr>
        <w:ilvl w:val="1"/>
        <w:numId w:val="7"/>
      </w:numPr>
      <w:spacing w:after="160" w:line="259" w:lineRule="auto"/>
    </w:pPr>
    <w:rPr>
      <w:rFonts w:ascii="宋体" w:hAnsi="Calibri" w:eastAsia="宋体" w:cs="Times New Roman"/>
      <w:sz w:val="21"/>
      <w:lang w:val="en-US" w:eastAsia="zh-CN" w:bidi="ar-SA"/>
    </w:rPr>
  </w:style>
  <w:style w:type="paragraph" w:customStyle="1" w:styleId="151">
    <w:name w:val="数字编号列项（二级）"/>
    <w:qFormat/>
    <w:uiPriority w:val="0"/>
    <w:pPr>
      <w:numPr>
        <w:ilvl w:val="1"/>
        <w:numId w:val="8"/>
      </w:numPr>
      <w:spacing w:after="160" w:line="259" w:lineRule="auto"/>
      <w:jc w:val="both"/>
    </w:pPr>
    <w:rPr>
      <w:rFonts w:ascii="宋体" w:hAnsi="Calibri" w:eastAsia="宋体" w:cs="Times New Roman"/>
      <w:sz w:val="21"/>
      <w:lang w:val="en-US" w:eastAsia="zh-CN" w:bidi="ar-SA"/>
    </w:rPr>
  </w:style>
  <w:style w:type="paragraph" w:customStyle="1" w:styleId="152">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153">
    <w:name w:val="二级无"/>
    <w:basedOn w:val="95"/>
    <w:qFormat/>
    <w:uiPriority w:val="0"/>
    <w:pPr>
      <w:spacing w:before="0" w:beforeLines="0" w:after="0" w:afterLines="0"/>
    </w:pPr>
    <w:rPr>
      <w:rFonts w:ascii="宋体" w:eastAsia="宋体"/>
    </w:rPr>
  </w:style>
  <w:style w:type="paragraph" w:customStyle="1" w:styleId="154">
    <w:name w:val="封面标准文稿编辑信息2"/>
    <w:basedOn w:val="100"/>
    <w:qFormat/>
    <w:uiPriority w:val="0"/>
    <w:pPr>
      <w:framePr w:wrap="around" w:y="4469"/>
    </w:pPr>
  </w:style>
  <w:style w:type="paragraph" w:customStyle="1" w:styleId="155">
    <w:name w:val="其他实施日期"/>
    <w:basedOn w:val="97"/>
    <w:qFormat/>
    <w:uiPriority w:val="0"/>
    <w:pPr>
      <w:framePr w:wrap="around"/>
    </w:pPr>
  </w:style>
  <w:style w:type="paragraph" w:customStyle="1" w:styleId="156">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Calibri" w:eastAsia="宋体" w:cs="Times New Roman"/>
      <w:sz w:val="21"/>
      <w:szCs w:val="21"/>
      <w:lang w:val="en-US" w:eastAsia="zh-CN" w:bidi="ar-SA"/>
    </w:rPr>
  </w:style>
  <w:style w:type="paragraph" w:customStyle="1" w:styleId="157">
    <w:name w:val="封面标准号1"/>
    <w:qFormat/>
    <w:uiPriority w:val="0"/>
    <w:pPr>
      <w:widowControl w:val="0"/>
      <w:kinsoku w:val="0"/>
      <w:overflowPunct w:val="0"/>
      <w:autoSpaceDE w:val="0"/>
      <w:autoSpaceDN w:val="0"/>
      <w:spacing w:before="308" w:after="160" w:line="259" w:lineRule="auto"/>
      <w:jc w:val="right"/>
      <w:textAlignment w:val="center"/>
    </w:pPr>
    <w:rPr>
      <w:rFonts w:ascii="Calibri" w:hAnsi="Calibri" w:eastAsia="宋体" w:cs="Times New Roman"/>
      <w:sz w:val="28"/>
      <w:lang w:val="en-US" w:eastAsia="zh-CN" w:bidi="ar-SA"/>
    </w:rPr>
  </w:style>
  <w:style w:type="paragraph" w:customStyle="1" w:styleId="158">
    <w:name w:val="图表脚注说明"/>
    <w:basedOn w:val="1"/>
    <w:qFormat/>
    <w:uiPriority w:val="0"/>
    <w:pPr>
      <w:numPr>
        <w:ilvl w:val="0"/>
        <w:numId w:val="17"/>
      </w:numPr>
    </w:pPr>
    <w:rPr>
      <w:rFonts w:ascii="宋体"/>
      <w:sz w:val="18"/>
      <w:szCs w:val="18"/>
    </w:rPr>
  </w:style>
  <w:style w:type="paragraph" w:customStyle="1" w:styleId="159">
    <w:name w:val="注×："/>
    <w:qFormat/>
    <w:uiPriority w:val="0"/>
    <w:pPr>
      <w:widowControl w:val="0"/>
      <w:numPr>
        <w:ilvl w:val="0"/>
        <w:numId w:val="18"/>
      </w:numPr>
      <w:autoSpaceDE w:val="0"/>
      <w:autoSpaceDN w:val="0"/>
      <w:spacing w:after="160" w:line="259" w:lineRule="auto"/>
      <w:jc w:val="both"/>
    </w:pPr>
    <w:rPr>
      <w:rFonts w:ascii="宋体" w:hAnsi="Calibri" w:eastAsia="宋体" w:cs="Times New Roman"/>
      <w:sz w:val="18"/>
      <w:szCs w:val="18"/>
      <w:lang w:val="en-US" w:eastAsia="zh-CN" w:bidi="ar-SA"/>
    </w:rPr>
  </w:style>
  <w:style w:type="paragraph" w:customStyle="1" w:styleId="160">
    <w:name w:val="附录表标号"/>
    <w:basedOn w:val="1"/>
    <w:next w:val="32"/>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61">
    <w:name w:val="附录四级无"/>
    <w:basedOn w:val="76"/>
    <w:qFormat/>
    <w:uiPriority w:val="0"/>
    <w:pPr>
      <w:tabs>
        <w:tab w:val="clear" w:pos="360"/>
      </w:tabs>
      <w:spacing w:before="0" w:beforeLines="0" w:after="0" w:afterLines="0"/>
    </w:pPr>
    <w:rPr>
      <w:rFonts w:ascii="宋体" w:eastAsia="宋体"/>
      <w:szCs w:val="21"/>
    </w:rPr>
  </w:style>
  <w:style w:type="paragraph" w:customStyle="1" w:styleId="162">
    <w:name w:val="附录图标题"/>
    <w:basedOn w:val="1"/>
    <w:next w:val="32"/>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63">
    <w:name w:val="附录二级无"/>
    <w:basedOn w:val="78"/>
    <w:qFormat/>
    <w:uiPriority w:val="0"/>
    <w:pPr>
      <w:spacing w:before="0" w:beforeLines="0" w:after="0" w:afterLines="0"/>
    </w:pPr>
    <w:rPr>
      <w:rFonts w:ascii="宋体" w:eastAsia="宋体"/>
      <w:szCs w:val="21"/>
    </w:rPr>
  </w:style>
  <w:style w:type="table" w:customStyle="1" w:styleId="164">
    <w:name w:val="网格型1"/>
    <w:basedOn w:val="42"/>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5">
    <w:name w:val="Placeholder Text"/>
    <w:unhideWhenUsed/>
    <w:qFormat/>
    <w:uiPriority w:val="99"/>
    <w:rPr>
      <w:color w:val="808080"/>
    </w:rPr>
  </w:style>
  <w:style w:type="character" w:customStyle="1" w:styleId="166">
    <w:name w:val="fontstyle01"/>
    <w:qFormat/>
    <w:uiPriority w:val="0"/>
    <w:rPr>
      <w:rFonts w:hint="eastAsia" w:ascii="宋体" w:hAnsi="宋体" w:eastAsia="宋体"/>
      <w:color w:val="000000"/>
      <w:sz w:val="22"/>
      <w:szCs w:val="22"/>
    </w:rPr>
  </w:style>
  <w:style w:type="character" w:customStyle="1" w:styleId="167">
    <w:name w:val="fontstyle21"/>
    <w:qFormat/>
    <w:uiPriority w:val="0"/>
    <w:rPr>
      <w:rFonts w:hint="default" w:ascii="TimesNewRomanPSMT" w:hAnsi="TimesNewRomanPSMT"/>
      <w:color w:val="000000"/>
      <w:sz w:val="22"/>
      <w:szCs w:val="22"/>
    </w:rPr>
  </w:style>
  <w:style w:type="character" w:customStyle="1" w:styleId="168">
    <w:name w:val="正文文本 字符"/>
    <w:link w:val="18"/>
    <w:qFormat/>
    <w:uiPriority w:val="1"/>
    <w:rPr>
      <w:sz w:val="21"/>
      <w:szCs w:val="21"/>
    </w:rPr>
  </w:style>
  <w:style w:type="paragraph" w:customStyle="1" w:styleId="169">
    <w:name w:val="修订1"/>
    <w:hidden/>
    <w:unhideWhenUsed/>
    <w:qFormat/>
    <w:uiPriority w:val="99"/>
    <w:rPr>
      <w:rFonts w:ascii="Calibri" w:hAnsi="Calibri" w:eastAsia="宋体" w:cs="Times New Roman"/>
      <w:kern w:val="2"/>
      <w:sz w:val="21"/>
      <w:szCs w:val="24"/>
      <w:lang w:val="en-US" w:eastAsia="zh-CN" w:bidi="ar-SA"/>
    </w:rPr>
  </w:style>
  <w:style w:type="paragraph" w:customStyle="1" w:styleId="170">
    <w:name w:val="修订2"/>
    <w:hidden/>
    <w:unhideWhenUsed/>
    <w:qFormat/>
    <w:uiPriority w:val="99"/>
    <w:rPr>
      <w:rFonts w:ascii="Calibri" w:hAnsi="Calibri" w:eastAsia="宋体" w:cs="Times New Roman"/>
      <w:kern w:val="2"/>
      <w:sz w:val="21"/>
      <w:szCs w:val="24"/>
      <w:lang w:val="en-US" w:eastAsia="zh-CN" w:bidi="ar-SA"/>
    </w:rPr>
  </w:style>
  <w:style w:type="paragraph" w:customStyle="1" w:styleId="171">
    <w:name w:val="修订3"/>
    <w:hidden/>
    <w:unhideWhenUsed/>
    <w:qFormat/>
    <w:uiPriority w:val="99"/>
    <w:rPr>
      <w:rFonts w:ascii="Calibri" w:hAnsi="Calibri" w:eastAsia="宋体" w:cs="Times New Roman"/>
      <w:kern w:val="2"/>
      <w:sz w:val="21"/>
      <w:szCs w:val="24"/>
      <w:lang w:val="en-US" w:eastAsia="zh-CN" w:bidi="ar-SA"/>
    </w:rPr>
  </w:style>
  <w:style w:type="character" w:customStyle="1" w:styleId="172">
    <w:name w:val="cf01"/>
    <w:basedOn w:val="44"/>
    <w:qFormat/>
    <w:uiPriority w:val="0"/>
    <w:rPr>
      <w:rFonts w:ascii="Microsoft YaHei UI" w:hAnsi="Microsoft YaHei UI" w:eastAsia="Microsoft YaHei UI" w:cs="Microsoft YaHei UI"/>
      <w:sz w:val="18"/>
      <w:szCs w:val="18"/>
    </w:rPr>
  </w:style>
  <w:style w:type="paragraph" w:customStyle="1" w:styleId="173">
    <w:name w:val="修订4"/>
    <w:hidden/>
    <w:unhideWhenUsed/>
    <w:qFormat/>
    <w:uiPriority w:val="99"/>
    <w:rPr>
      <w:rFonts w:ascii="Calibri" w:hAnsi="Calibri" w:eastAsia="宋体" w:cs="Times New Roman"/>
      <w:kern w:val="2"/>
      <w:sz w:val="21"/>
      <w:szCs w:val="24"/>
      <w:lang w:val="en-US" w:eastAsia="zh-CN" w:bidi="ar-SA"/>
    </w:rPr>
  </w:style>
  <w:style w:type="paragraph" w:customStyle="1" w:styleId="174">
    <w:name w:val="编号正文缩进"/>
    <w:basedOn w:val="1"/>
    <w:qFormat/>
    <w:uiPriority w:val="0"/>
    <w:pPr>
      <w:tabs>
        <w:tab w:val="left" w:pos="595"/>
      </w:tabs>
      <w:ind w:left="397" w:firstLine="454"/>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wmf"/><Relationship Id="rId17" Type="http://schemas.openxmlformats.org/officeDocument/2006/relationships/image" Target="media/image1.wmf"/><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43D69-490F-406F-BA38-24884E956EF6}">
  <ds:schemaRefs/>
</ds:datastoreItem>
</file>

<file path=docProps/app.xml><?xml version="1.0" encoding="utf-8"?>
<Properties xmlns="http://schemas.openxmlformats.org/officeDocument/2006/extended-properties" xmlns:vt="http://schemas.openxmlformats.org/officeDocument/2006/docPropsVTypes">
  <Template>Normal</Template>
  <Pages>7</Pages>
  <Words>2556</Words>
  <Characters>3172</Characters>
  <Lines>24</Lines>
  <Paragraphs>6</Paragraphs>
  <TotalTime>1</TotalTime>
  <ScaleCrop>false</ScaleCrop>
  <LinksUpToDate>false</LinksUpToDate>
  <CharactersWithSpaces>3289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2024-08-01T09:09:00Z</dcterms:created>
  <dc:creator>张鹏</dc:creator>
  <cp:lastModifiedBy>Pluto</cp:lastModifiedBy>
  <cp:lastPrinted>2023-12-13T08:53:00Z</cp:lastPrinted>
  <dcterms:modified xsi:type="dcterms:W3CDTF">2025-02-07T02:32:55Z</dcterms:modified>
  <dc:title>标准名称</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0x01010004BEFC6719C2FF42B39D3C40EC0C7850</vt:lpwstr>
  </property>
  <property fmtid="{D5CDD505-2E9C-101B-9397-08002B2CF9AE}" pid="4" name="ICV">
    <vt:lpwstr>31F2807F53124172AD4FCC3E123C4002</vt:lpwstr>
  </property>
  <property fmtid="{D5CDD505-2E9C-101B-9397-08002B2CF9AE}" pid="5" name="KSOTemplateDocerSaveRecord">
    <vt:lpwstr>eyJoZGlkIjoiZjA2ZTg3M2E0NjA0NTc4MGI1ZTAwOWM4ODUxY2UzOGYiLCJ1c2VySWQiOiI2MDM0NzI1NzQifQ==</vt:lpwstr>
  </property>
</Properties>
</file>