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8B" w:rsidRPr="00737794" w:rsidRDefault="004E2EF6">
      <w:pPr>
        <w:spacing w:line="300" w:lineRule="auto"/>
        <w:rPr>
          <w:rFonts w:ascii="Times New Roman" w:eastAsia="黑体" w:hAnsi="Times New Roman" w:cs="Times New Roman"/>
          <w:bCs/>
          <w:sz w:val="32"/>
          <w:szCs w:val="32"/>
        </w:rPr>
      </w:pPr>
      <w:r w:rsidRPr="00737794">
        <w:rPr>
          <w:rFonts w:ascii="Times New Roman" w:eastAsia="黑体" w:hAnsi="Times New Roman" w:cs="Times New Roman"/>
          <w:bCs/>
          <w:sz w:val="32"/>
          <w:szCs w:val="32"/>
        </w:rPr>
        <w:t>附件</w:t>
      </w:r>
      <w:r w:rsidR="00737794" w:rsidRPr="00737794">
        <w:rPr>
          <w:rFonts w:ascii="Times New Roman" w:eastAsia="黑体" w:hAnsi="Times New Roman" w:cs="Times New Roman" w:hint="eastAsia"/>
          <w:bCs/>
          <w:sz w:val="32"/>
          <w:szCs w:val="32"/>
        </w:rPr>
        <w:t>3</w:t>
      </w:r>
      <w:r w:rsidRPr="00737794">
        <w:rPr>
          <w:rFonts w:ascii="Times New Roman" w:eastAsia="黑体" w:hAnsi="Times New Roman" w:cs="Times New Roman"/>
          <w:bCs/>
          <w:sz w:val="32"/>
          <w:szCs w:val="32"/>
        </w:rPr>
        <w:t xml:space="preserve">   </w:t>
      </w:r>
    </w:p>
    <w:p w:rsidR="00D9528B" w:rsidRPr="00737794" w:rsidRDefault="004E2EF6" w:rsidP="00737794">
      <w:pPr>
        <w:spacing w:beforeLines="50" w:before="156" w:afterLines="50" w:after="156" w:line="300" w:lineRule="auto"/>
        <w:jc w:val="center"/>
        <w:rPr>
          <w:rFonts w:ascii="Times New Roman" w:eastAsia="黑体" w:hAnsi="Times New Roman" w:cs="Times New Roman"/>
          <w:spacing w:val="-14"/>
          <w:kern w:val="0"/>
          <w:sz w:val="32"/>
          <w:szCs w:val="32"/>
        </w:rPr>
      </w:pPr>
      <w:bookmarkStart w:id="0" w:name="OLE_LINK5"/>
      <w:r w:rsidRPr="00737794">
        <w:rPr>
          <w:rFonts w:ascii="Times New Roman" w:eastAsia="黑体" w:hAnsi="Times New Roman" w:cs="Times New Roman"/>
          <w:spacing w:val="-14"/>
          <w:kern w:val="0"/>
          <w:sz w:val="32"/>
          <w:szCs w:val="32"/>
        </w:rPr>
        <w:t>皮肤变态反应：局部淋巴结试验</w:t>
      </w:r>
      <w:r w:rsidRPr="00737794">
        <w:rPr>
          <w:rFonts w:ascii="Times New Roman" w:eastAsia="黑体" w:hAnsi="Times New Roman" w:cs="Times New Roman" w:hint="eastAsia"/>
          <w:spacing w:val="-14"/>
          <w:kern w:val="0"/>
          <w:sz w:val="32"/>
          <w:szCs w:val="32"/>
        </w:rPr>
        <w:t>：</w:t>
      </w:r>
      <w:proofErr w:type="spellStart"/>
      <w:r w:rsidRPr="00737794">
        <w:rPr>
          <w:rFonts w:ascii="Times New Roman" w:eastAsia="黑体" w:hAnsi="Times New Roman" w:cs="Times New Roman"/>
          <w:spacing w:val="-14"/>
          <w:kern w:val="0"/>
          <w:sz w:val="32"/>
          <w:szCs w:val="32"/>
        </w:rPr>
        <w:t>BrdU</w:t>
      </w:r>
      <w:proofErr w:type="spellEnd"/>
      <w:r w:rsidRPr="00737794">
        <w:rPr>
          <w:rFonts w:ascii="Times New Roman" w:eastAsia="黑体" w:hAnsi="Times New Roman" w:cs="Times New Roman"/>
          <w:spacing w:val="-14"/>
          <w:kern w:val="0"/>
          <w:sz w:val="32"/>
          <w:szCs w:val="32"/>
        </w:rPr>
        <w:t>-FCM</w:t>
      </w:r>
      <w:r w:rsidR="00737794">
        <w:rPr>
          <w:rFonts w:ascii="Times New Roman" w:eastAsia="黑体" w:hAnsi="Times New Roman" w:cs="Times New Roman" w:hint="eastAsia"/>
          <w:spacing w:val="-14"/>
          <w:kern w:val="0"/>
          <w:sz w:val="32"/>
          <w:szCs w:val="32"/>
        </w:rPr>
        <w:t>（征求意见稿）</w:t>
      </w:r>
    </w:p>
    <w:bookmarkEnd w:id="0"/>
    <w:p w:rsidR="00D9528B" w:rsidRPr="00737794" w:rsidRDefault="004E2EF6" w:rsidP="00737794">
      <w:pPr>
        <w:spacing w:beforeLines="50" w:before="156" w:afterLines="50" w:after="156" w:line="300" w:lineRule="auto"/>
        <w:ind w:firstLine="142"/>
        <w:jc w:val="center"/>
        <w:rPr>
          <w:rFonts w:ascii="Times New Roman" w:eastAsia="黑体" w:hAnsi="Times New Roman" w:cs="Times New Roman"/>
          <w:kern w:val="0"/>
          <w:szCs w:val="21"/>
        </w:rPr>
      </w:pPr>
      <w:r w:rsidRPr="00737794">
        <w:rPr>
          <w:rFonts w:ascii="Times New Roman" w:eastAsia="黑体" w:hAnsi="Times New Roman" w:cs="Times New Roman"/>
          <w:kern w:val="0"/>
          <w:szCs w:val="21"/>
        </w:rPr>
        <w:t xml:space="preserve">Skin Sensitization: Local Lymph Node Assay: </w:t>
      </w:r>
      <w:proofErr w:type="spellStart"/>
      <w:r w:rsidRPr="00737794">
        <w:rPr>
          <w:rFonts w:ascii="Times New Roman" w:eastAsia="黑体" w:hAnsi="Times New Roman" w:cs="Times New Roman"/>
          <w:kern w:val="0"/>
          <w:szCs w:val="21"/>
        </w:rPr>
        <w:t>BrdU</w:t>
      </w:r>
      <w:proofErr w:type="spellEnd"/>
      <w:r w:rsidRPr="00737794">
        <w:rPr>
          <w:rFonts w:ascii="Times New Roman" w:eastAsia="黑体" w:hAnsi="Times New Roman" w:cs="Times New Roman"/>
          <w:kern w:val="0"/>
          <w:szCs w:val="21"/>
        </w:rPr>
        <w:t>-</w:t>
      </w:r>
      <w:r w:rsidRPr="00737794">
        <w:rPr>
          <w:rFonts w:ascii="Times New Roman" w:eastAsia="黑体" w:hAnsi="Times New Roman" w:cs="Times New Roman" w:hint="eastAsia"/>
          <w:kern w:val="0"/>
          <w:szCs w:val="21"/>
        </w:rPr>
        <w:t>Fl</w:t>
      </w:r>
      <w:r w:rsidRPr="00737794">
        <w:rPr>
          <w:rFonts w:ascii="Times New Roman" w:eastAsia="黑体" w:hAnsi="Times New Roman" w:cs="Times New Roman"/>
          <w:kern w:val="0"/>
          <w:szCs w:val="21"/>
        </w:rPr>
        <w:t xml:space="preserve">ow </w:t>
      </w:r>
      <w:proofErr w:type="spellStart"/>
      <w:r w:rsidRPr="00737794">
        <w:rPr>
          <w:rFonts w:ascii="Times New Roman" w:eastAsia="黑体" w:hAnsi="Times New Roman" w:cs="Times New Roman" w:hint="eastAsia"/>
          <w:kern w:val="0"/>
          <w:szCs w:val="21"/>
        </w:rPr>
        <w:t>C</w:t>
      </w:r>
      <w:r w:rsidRPr="00737794">
        <w:rPr>
          <w:rFonts w:ascii="Times New Roman" w:eastAsia="黑体" w:hAnsi="Times New Roman" w:cs="Times New Roman"/>
          <w:kern w:val="0"/>
          <w:szCs w:val="21"/>
        </w:rPr>
        <w:t>ytometry</w:t>
      </w:r>
      <w:proofErr w:type="spellEnd"/>
      <w:r w:rsidRPr="00737794">
        <w:rPr>
          <w:rFonts w:ascii="Times New Roman" w:eastAsia="黑体" w:hAnsi="Times New Roman" w:cs="Times New Roman"/>
          <w:kern w:val="0"/>
          <w:szCs w:val="21"/>
        </w:rPr>
        <w:t xml:space="preserve"> </w:t>
      </w:r>
      <w:r w:rsidRPr="00737794">
        <w:rPr>
          <w:rFonts w:ascii="Times New Roman" w:eastAsia="黑体" w:hAnsi="Times New Roman" w:cs="Times New Roman" w:hint="eastAsia"/>
          <w:kern w:val="0"/>
          <w:szCs w:val="21"/>
        </w:rPr>
        <w:t>M</w:t>
      </w:r>
      <w:r w:rsidRPr="00737794">
        <w:rPr>
          <w:rFonts w:ascii="Times New Roman" w:eastAsia="黑体" w:hAnsi="Times New Roman" w:cs="Times New Roman"/>
          <w:kern w:val="0"/>
          <w:szCs w:val="21"/>
        </w:rPr>
        <w:t>ethod</w:t>
      </w:r>
      <w:r w:rsidRPr="00737794">
        <w:rPr>
          <w:rFonts w:ascii="Times New Roman" w:eastAsia="黑体" w:hAnsi="Times New Roman" w:cs="Times New Roman"/>
          <w:kern w:val="0"/>
          <w:szCs w:val="21"/>
        </w:rPr>
        <w:t>（</w:t>
      </w:r>
      <w:proofErr w:type="spellStart"/>
      <w:r w:rsidRPr="00737794">
        <w:rPr>
          <w:rFonts w:ascii="Times New Roman" w:eastAsia="黑体" w:hAnsi="Times New Roman" w:cs="Times New Roman"/>
          <w:kern w:val="0"/>
          <w:szCs w:val="21"/>
        </w:rPr>
        <w:t>LLNA:BrdU-FCM</w:t>
      </w:r>
      <w:proofErr w:type="spellEnd"/>
      <w:r w:rsidRPr="00737794">
        <w:rPr>
          <w:rFonts w:ascii="Times New Roman" w:eastAsia="黑体" w:hAnsi="Times New Roman" w:cs="Times New Roman"/>
          <w:kern w:val="0"/>
          <w:szCs w:val="21"/>
        </w:rPr>
        <w:t>）</w:t>
      </w:r>
    </w:p>
    <w:p w:rsidR="00D9528B" w:rsidRPr="00737794" w:rsidRDefault="00D9528B" w:rsidP="00737794">
      <w:pPr>
        <w:spacing w:line="300" w:lineRule="auto"/>
        <w:ind w:firstLineChars="200" w:firstLine="422"/>
        <w:rPr>
          <w:rFonts w:ascii="Times New Roman" w:hAnsi="Times New Roman" w:cs="Times New Roman"/>
          <w:b/>
        </w:rPr>
      </w:pP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1 </w:t>
      </w:r>
      <w:r w:rsidRPr="00737794">
        <w:rPr>
          <w:rFonts w:ascii="Times New Roman" w:eastAsia="黑体" w:hAnsi="Times New Roman" w:cs="Times New Roman"/>
          <w:bCs/>
          <w:kern w:val="0"/>
          <w:szCs w:val="21"/>
        </w:rPr>
        <w:t>范围</w:t>
      </w:r>
    </w:p>
    <w:p w:rsidR="00D9528B" w:rsidRPr="00737794" w:rsidRDefault="004E2EF6" w:rsidP="00737794">
      <w:pPr>
        <w:autoSpaceDE w:val="0"/>
        <w:autoSpaceDN w:val="0"/>
        <w:spacing w:line="300" w:lineRule="auto"/>
        <w:ind w:firstLineChars="200" w:firstLine="420"/>
        <w:rPr>
          <w:rFonts w:ascii="Times New Roman" w:hAnsi="Times New Roman" w:cs="Times New Roman"/>
          <w:szCs w:val="21"/>
        </w:rPr>
      </w:pPr>
      <w:r w:rsidRPr="00737794">
        <w:rPr>
          <w:rFonts w:ascii="Times New Roman" w:hAnsi="Times New Roman" w:cs="Times New Roman"/>
          <w:kern w:val="0"/>
          <w:szCs w:val="21"/>
        </w:rPr>
        <w:t>本方法规定了小鼠局部淋巴结试验（</w:t>
      </w:r>
      <w:proofErr w:type="spellStart"/>
      <w:r w:rsidRPr="00737794">
        <w:rPr>
          <w:rFonts w:ascii="Times New Roman" w:hAnsi="Times New Roman" w:cs="Times New Roman"/>
          <w:kern w:val="0"/>
          <w:szCs w:val="21"/>
        </w:rPr>
        <w:t>LLNA:BrdU-FCM</w:t>
      </w:r>
      <w:proofErr w:type="spellEnd"/>
      <w:r w:rsidRPr="00737794">
        <w:rPr>
          <w:rFonts w:ascii="Times New Roman" w:hAnsi="Times New Roman" w:cs="Times New Roman"/>
          <w:kern w:val="0"/>
          <w:szCs w:val="21"/>
        </w:rPr>
        <w:t>）的基本原则和试验要求。</w:t>
      </w:r>
    </w:p>
    <w:p w:rsidR="00D9528B" w:rsidRPr="00737794" w:rsidRDefault="004E2EF6" w:rsidP="00737794">
      <w:pPr>
        <w:autoSpaceDE w:val="0"/>
        <w:autoSpaceDN w:val="0"/>
        <w:spacing w:line="300" w:lineRule="auto"/>
        <w:ind w:firstLineChars="200" w:firstLine="420"/>
        <w:rPr>
          <w:rFonts w:ascii="Times New Roman" w:hAnsi="Times New Roman" w:cs="Times New Roman"/>
          <w:szCs w:val="21"/>
        </w:rPr>
      </w:pPr>
      <w:r w:rsidRPr="00737794">
        <w:rPr>
          <w:rFonts w:ascii="Times New Roman" w:hAnsi="Times New Roman" w:cs="Times New Roman"/>
          <w:kern w:val="0"/>
          <w:szCs w:val="21"/>
        </w:rPr>
        <w:t>本方法适用于化妆品用化学原料皮肤变态反应的检测。</w:t>
      </w:r>
    </w:p>
    <w:p w:rsidR="00D9528B" w:rsidRPr="00737794" w:rsidRDefault="004E2EF6" w:rsidP="00737794">
      <w:pPr>
        <w:spacing w:beforeLines="50" w:before="156" w:afterLines="50" w:after="156" w:line="300" w:lineRule="auto"/>
        <w:jc w:val="left"/>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2 </w:t>
      </w:r>
      <w:r w:rsidRPr="00737794">
        <w:rPr>
          <w:rFonts w:ascii="Times New Roman" w:eastAsia="黑体" w:hAnsi="Times New Roman" w:cs="Times New Roman"/>
          <w:bCs/>
          <w:kern w:val="0"/>
          <w:szCs w:val="21"/>
        </w:rPr>
        <w:t>试验目的</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确定重复接触化妆品用化学原料对哺乳动物皮肤局部是否可引起变态反应及其程度。</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3 </w:t>
      </w:r>
      <w:r w:rsidRPr="00737794">
        <w:rPr>
          <w:rFonts w:ascii="Times New Roman" w:eastAsia="黑体" w:hAnsi="Times New Roman" w:cs="Times New Roman"/>
          <w:bCs/>
          <w:kern w:val="0"/>
          <w:szCs w:val="21"/>
        </w:rPr>
        <w:t>定义</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3.1 </w:t>
      </w:r>
      <w:r w:rsidRPr="00737794">
        <w:rPr>
          <w:rFonts w:ascii="Times New Roman" w:hAnsi="Times New Roman" w:cs="Times New Roman"/>
          <w:kern w:val="0"/>
          <w:szCs w:val="21"/>
        </w:rPr>
        <w:t>皮肤变态反应（过敏性接触性皮炎）</w:t>
      </w:r>
      <w:r w:rsidRPr="00737794">
        <w:rPr>
          <w:rFonts w:ascii="Times New Roman" w:hAnsi="Times New Roman" w:cs="Times New Roman"/>
          <w:kern w:val="0"/>
          <w:szCs w:val="21"/>
        </w:rPr>
        <w:t>skin sensitization</w:t>
      </w:r>
      <w:r w:rsidRPr="00737794">
        <w:rPr>
          <w:rFonts w:ascii="Times New Roman" w:hAnsi="Times New Roman" w:cs="Times New Roman"/>
          <w:kern w:val="0"/>
          <w:szCs w:val="21"/>
        </w:rPr>
        <w:t>，</w:t>
      </w:r>
      <w:r w:rsidRPr="00737794">
        <w:rPr>
          <w:rFonts w:ascii="Times New Roman" w:hAnsi="Times New Roman" w:cs="Times New Roman"/>
          <w:kern w:val="0"/>
          <w:szCs w:val="21"/>
        </w:rPr>
        <w:t>allergic contact dermatitis</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hint="eastAsia"/>
          <w:kern w:val="0"/>
          <w:szCs w:val="21"/>
        </w:rPr>
        <w:t>机体免疫系统对某种物质（过敏原）</w:t>
      </w:r>
      <w:r w:rsidRPr="00737794">
        <w:rPr>
          <w:rFonts w:ascii="Times New Roman" w:hAnsi="Times New Roman" w:cs="Times New Roman"/>
          <w:kern w:val="0"/>
          <w:szCs w:val="21"/>
        </w:rPr>
        <w:t>产生的</w:t>
      </w:r>
      <w:r w:rsidRPr="00737794">
        <w:rPr>
          <w:rFonts w:ascii="Times New Roman" w:hAnsi="Times New Roman" w:cs="Times New Roman" w:hint="eastAsia"/>
          <w:kern w:val="0"/>
          <w:szCs w:val="21"/>
        </w:rPr>
        <w:t>异常或过度的免疫应答，导致皮肤出现炎症性反应的过程</w:t>
      </w:r>
      <w:r w:rsidRPr="00737794">
        <w:rPr>
          <w:rFonts w:ascii="Times New Roman" w:hAnsi="Times New Roman" w:cs="Times New Roman"/>
          <w:kern w:val="0"/>
          <w:szCs w:val="21"/>
        </w:rPr>
        <w:t>。在人类这种反应可能以瘙痒、红斑、丘疹、水疱、融合水疱为特征。动物的反应不同，可能只见到皮肤红斑和水肿。</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3.2 </w:t>
      </w:r>
      <w:r w:rsidRPr="00737794">
        <w:rPr>
          <w:rFonts w:ascii="Times New Roman" w:hAnsi="Times New Roman" w:cs="Times New Roman"/>
          <w:kern w:val="0"/>
          <w:szCs w:val="21"/>
        </w:rPr>
        <w:t>皮肤刺激性</w:t>
      </w:r>
      <w:r w:rsidRPr="00737794">
        <w:rPr>
          <w:rFonts w:ascii="Times New Roman" w:hAnsi="Times New Roman" w:cs="Times New Roman"/>
          <w:kern w:val="0"/>
          <w:szCs w:val="21"/>
        </w:rPr>
        <w:t xml:space="preserve"> dermal irritation</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皮肤涂抹受试物后局部产生的原发可逆性炎性变化。</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3.3 </w:t>
      </w:r>
      <w:r w:rsidRPr="00737794">
        <w:rPr>
          <w:rFonts w:ascii="Times New Roman" w:hAnsi="Times New Roman" w:cs="Times New Roman"/>
          <w:kern w:val="0"/>
          <w:szCs w:val="21"/>
        </w:rPr>
        <w:t>刺激指数</w:t>
      </w:r>
      <w:r w:rsidRPr="00737794">
        <w:rPr>
          <w:rFonts w:ascii="Times New Roman" w:hAnsi="Times New Roman" w:cs="Times New Roman"/>
          <w:kern w:val="0"/>
          <w:szCs w:val="21"/>
        </w:rPr>
        <w:t xml:space="preserve"> stimulation index</w:t>
      </w:r>
    </w:p>
    <w:p w:rsidR="00D9528B" w:rsidRPr="00737794" w:rsidRDefault="004E2EF6" w:rsidP="00737794">
      <w:pPr>
        <w:spacing w:beforeLines="50" w:before="156" w:afterLines="50" w:after="156" w:line="300" w:lineRule="auto"/>
        <w:ind w:firstLineChars="200" w:firstLine="420"/>
        <w:rPr>
          <w:rFonts w:ascii="Times New Roman" w:hAnsi="Times New Roman" w:cs="Times New Roman"/>
          <w:kern w:val="0"/>
          <w:szCs w:val="21"/>
        </w:rPr>
      </w:pPr>
      <w:proofErr w:type="gramStart"/>
      <w:r w:rsidRPr="00737794">
        <w:rPr>
          <w:rFonts w:ascii="Times New Roman" w:hAnsi="Times New Roman" w:cs="Times New Roman" w:hint="eastAsia"/>
          <w:kern w:val="0"/>
          <w:szCs w:val="21"/>
        </w:rPr>
        <w:t>受试物组与</w:t>
      </w:r>
      <w:proofErr w:type="gramEnd"/>
      <w:r w:rsidRPr="00737794">
        <w:rPr>
          <w:rFonts w:ascii="Times New Roman" w:hAnsi="Times New Roman" w:cs="Times New Roman" w:hint="eastAsia"/>
          <w:kern w:val="0"/>
          <w:szCs w:val="21"/>
        </w:rPr>
        <w:t>溶剂对照组增殖的比值，是评价受试物皮肤致敏能力的值。</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4 </w:t>
      </w:r>
      <w:r w:rsidRPr="00737794">
        <w:rPr>
          <w:rFonts w:ascii="Times New Roman" w:eastAsia="黑体" w:hAnsi="Times New Roman" w:cs="Times New Roman"/>
          <w:bCs/>
          <w:kern w:val="0"/>
          <w:szCs w:val="21"/>
        </w:rPr>
        <w:t>试验原理</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过敏原引起染毒部位回流淋巴结内淋巴细胞增殖，其增殖程度与过敏原的剂量和效力成比例。</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是一种胸腺嘧啶核苷类似物，可代替胸腺嘧啶掺入增殖细胞新合成的</w:t>
      </w:r>
      <w:r w:rsidRPr="00737794">
        <w:rPr>
          <w:rFonts w:ascii="Times New Roman" w:hAnsi="Times New Roman" w:cs="Times New Roman"/>
          <w:kern w:val="0"/>
          <w:szCs w:val="21"/>
        </w:rPr>
        <w:t>DNA</w:t>
      </w:r>
      <w:r w:rsidRPr="00737794">
        <w:rPr>
          <w:rFonts w:ascii="Times New Roman" w:hAnsi="Times New Roman" w:cs="Times New Roman"/>
          <w:kern w:val="0"/>
          <w:szCs w:val="21"/>
        </w:rPr>
        <w:t>链中，其含量反映回流淋巴结内细胞增殖程度。用</w:t>
      </w:r>
      <w:r w:rsidRPr="00737794">
        <w:rPr>
          <w:rFonts w:ascii="Times New Roman" w:hAnsi="Times New Roman" w:cs="Times New Roman" w:hint="eastAsia"/>
          <w:kern w:val="0"/>
          <w:szCs w:val="21"/>
        </w:rPr>
        <w:t>流式细胞仪方法（</w:t>
      </w:r>
      <w:proofErr w:type="spellStart"/>
      <w:r w:rsidRPr="00737794">
        <w:rPr>
          <w:rFonts w:ascii="Times New Roman" w:hAnsi="Times New Roman" w:cs="Times New Roman" w:hint="eastAsia"/>
          <w:kern w:val="0"/>
          <w:szCs w:val="21"/>
        </w:rPr>
        <w:t>BrdU</w:t>
      </w:r>
      <w:proofErr w:type="spellEnd"/>
      <w:r w:rsidRPr="00737794">
        <w:rPr>
          <w:rFonts w:ascii="Times New Roman" w:hAnsi="Times New Roman" w:cs="Times New Roman" w:hint="eastAsia"/>
          <w:kern w:val="0"/>
          <w:szCs w:val="21"/>
        </w:rPr>
        <w:t xml:space="preserve">-Flow </w:t>
      </w:r>
      <w:proofErr w:type="spellStart"/>
      <w:r w:rsidRPr="00737794">
        <w:rPr>
          <w:rFonts w:ascii="Times New Roman" w:hAnsi="Times New Roman" w:cs="Times New Roman" w:hint="eastAsia"/>
          <w:kern w:val="0"/>
          <w:szCs w:val="21"/>
        </w:rPr>
        <w:t>Cytometry</w:t>
      </w:r>
      <w:proofErr w:type="spellEnd"/>
      <w:r w:rsidRPr="00737794">
        <w:rPr>
          <w:rFonts w:ascii="Times New Roman" w:hAnsi="Times New Roman" w:cs="Times New Roman" w:hint="eastAsia"/>
          <w:kern w:val="0"/>
          <w:szCs w:val="21"/>
        </w:rPr>
        <w:t xml:space="preserve"> Method</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FCM</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测定淋巴细胞中</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含量，通过计算</w:t>
      </w:r>
      <w:proofErr w:type="gramStart"/>
      <w:r w:rsidRPr="00737794">
        <w:rPr>
          <w:rFonts w:ascii="Times New Roman" w:hAnsi="Times New Roman" w:cs="Times New Roman"/>
          <w:kern w:val="0"/>
          <w:szCs w:val="21"/>
        </w:rPr>
        <w:t>受试物组与</w:t>
      </w:r>
      <w:proofErr w:type="gramEnd"/>
      <w:r w:rsidRPr="00737794">
        <w:rPr>
          <w:rFonts w:ascii="Times New Roman" w:hAnsi="Times New Roman" w:cs="Times New Roman"/>
          <w:kern w:val="0"/>
          <w:szCs w:val="21"/>
        </w:rPr>
        <w:t>溶剂对照组</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含量比值即刺激指数评价受试物的皮肤致敏性。</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5 </w:t>
      </w:r>
      <w:r w:rsidRPr="00737794">
        <w:rPr>
          <w:rFonts w:ascii="Times New Roman" w:eastAsia="黑体" w:hAnsi="Times New Roman" w:cs="Times New Roman"/>
          <w:bCs/>
          <w:kern w:val="0"/>
          <w:szCs w:val="21"/>
        </w:rPr>
        <w:t>试验的基本原则</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5.1 </w:t>
      </w:r>
      <w:r w:rsidRPr="00737794">
        <w:rPr>
          <w:rFonts w:ascii="Times New Roman" w:hAnsi="Times New Roman" w:cs="Times New Roman"/>
          <w:kern w:val="0"/>
          <w:szCs w:val="21"/>
        </w:rPr>
        <w:t>实验动物和饲养环境</w:t>
      </w:r>
    </w:p>
    <w:p w:rsidR="00D9528B" w:rsidRPr="00737794" w:rsidRDefault="004E2EF6" w:rsidP="00737794">
      <w:pPr>
        <w:pStyle w:val="a3"/>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lastRenderedPageBreak/>
        <w:t>选用</w:t>
      </w:r>
      <w:r w:rsidRPr="00737794">
        <w:rPr>
          <w:rFonts w:ascii="Times New Roman" w:hAnsi="Times New Roman" w:cs="Times New Roman"/>
          <w:kern w:val="0"/>
          <w:szCs w:val="21"/>
        </w:rPr>
        <w:t>SPF</w:t>
      </w:r>
      <w:r w:rsidRPr="00737794">
        <w:rPr>
          <w:rFonts w:ascii="Times New Roman" w:hAnsi="Times New Roman" w:cs="Times New Roman"/>
          <w:kern w:val="0"/>
          <w:szCs w:val="21"/>
        </w:rPr>
        <w:t>级</w:t>
      </w:r>
      <w:r w:rsidRPr="00737794">
        <w:rPr>
          <w:rFonts w:ascii="Times New Roman" w:hAnsi="Times New Roman" w:cs="Times New Roman"/>
          <w:kern w:val="0"/>
          <w:szCs w:val="21"/>
        </w:rPr>
        <w:t>BALB/c</w:t>
      </w:r>
      <w:r w:rsidRPr="00737794">
        <w:rPr>
          <w:rFonts w:ascii="Times New Roman" w:hAnsi="Times New Roman" w:cs="Times New Roman"/>
          <w:kern w:val="0"/>
          <w:szCs w:val="21"/>
        </w:rPr>
        <w:t>或</w:t>
      </w:r>
      <w:r w:rsidRPr="00737794">
        <w:rPr>
          <w:rFonts w:ascii="Times New Roman" w:hAnsi="Times New Roman" w:cs="Times New Roman"/>
          <w:kern w:val="0"/>
          <w:szCs w:val="21"/>
        </w:rPr>
        <w:t>CBA/JN</w:t>
      </w:r>
      <w:r w:rsidRPr="00737794">
        <w:rPr>
          <w:rFonts w:ascii="Times New Roman" w:hAnsi="Times New Roman" w:cs="Times New Roman"/>
          <w:kern w:val="0"/>
          <w:szCs w:val="21"/>
        </w:rPr>
        <w:t>小鼠，</w:t>
      </w:r>
      <w:r w:rsidRPr="00737794">
        <w:rPr>
          <w:rFonts w:ascii="Times New Roman" w:hAnsi="Times New Roman" w:cs="Times New Roman"/>
          <w:kern w:val="0"/>
          <w:szCs w:val="21"/>
        </w:rPr>
        <w:t>8</w:t>
      </w:r>
      <w:r w:rsidRPr="00737794">
        <w:rPr>
          <w:rFonts w:ascii="Times New Roman" w:hAnsi="Times New Roman" w:cs="Times New Roman"/>
          <w:kern w:val="0"/>
          <w:szCs w:val="21"/>
        </w:rPr>
        <w:t>～</w:t>
      </w:r>
      <w:r w:rsidRPr="00737794">
        <w:rPr>
          <w:rFonts w:ascii="Times New Roman" w:hAnsi="Times New Roman" w:cs="Times New Roman"/>
          <w:kern w:val="0"/>
          <w:szCs w:val="21"/>
        </w:rPr>
        <w:t>12</w:t>
      </w:r>
      <w:r w:rsidRPr="00737794">
        <w:rPr>
          <w:rFonts w:ascii="Times New Roman" w:hAnsi="Times New Roman" w:cs="Times New Roman"/>
          <w:kern w:val="0"/>
          <w:szCs w:val="21"/>
        </w:rPr>
        <w:t>周龄，雌性，未孕或未曾产仔的。体重差异应不超过平均体重的</w:t>
      </w:r>
      <w:r w:rsidRPr="00737794">
        <w:rPr>
          <w:rFonts w:ascii="Times New Roman" w:hAnsi="Times New Roman" w:cs="Times New Roman"/>
          <w:kern w:val="0"/>
          <w:szCs w:val="21"/>
        </w:rPr>
        <w:t>20%</w:t>
      </w:r>
      <w:r w:rsidRPr="00737794">
        <w:rPr>
          <w:rFonts w:ascii="Times New Roman" w:hAnsi="Times New Roman" w:cs="Times New Roman"/>
          <w:kern w:val="0"/>
          <w:szCs w:val="21"/>
        </w:rPr>
        <w:t>。其他品系或雄性小鼠如经验证</w:t>
      </w:r>
      <w:proofErr w:type="spellStart"/>
      <w:r w:rsidRPr="00737794">
        <w:rPr>
          <w:rFonts w:ascii="Times New Roman" w:hAnsi="Times New Roman" w:cs="Times New Roman"/>
          <w:kern w:val="0"/>
          <w:szCs w:val="21"/>
        </w:rPr>
        <w:t>LLNA:BrdU-FCM</w:t>
      </w:r>
      <w:proofErr w:type="spellEnd"/>
      <w:r w:rsidRPr="00737794">
        <w:rPr>
          <w:rFonts w:ascii="Times New Roman" w:hAnsi="Times New Roman" w:cs="Times New Roman"/>
          <w:kern w:val="0"/>
          <w:szCs w:val="21"/>
        </w:rPr>
        <w:t>反应不存在明显品系或性别间差异亦可使用。实验动物及实验动物房应符合国家相应规定，选用标准配合饲料，饮水不限制。</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bookmarkStart w:id="1" w:name="_Hlk516735420"/>
      <w:r w:rsidRPr="00737794">
        <w:rPr>
          <w:rFonts w:ascii="Times New Roman" w:hAnsi="Times New Roman" w:cs="Times New Roman"/>
          <w:kern w:val="0"/>
          <w:szCs w:val="21"/>
        </w:rPr>
        <w:t xml:space="preserve">5.2 </w:t>
      </w:r>
      <w:r w:rsidRPr="00737794">
        <w:rPr>
          <w:rFonts w:ascii="Times New Roman" w:hAnsi="Times New Roman" w:cs="Times New Roman"/>
          <w:kern w:val="0"/>
          <w:szCs w:val="21"/>
        </w:rPr>
        <w:t>动物试验前准备</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试验前动物应在实验动物</w:t>
      </w:r>
      <w:proofErr w:type="gramStart"/>
      <w:r w:rsidRPr="00737794">
        <w:rPr>
          <w:rFonts w:ascii="Times New Roman" w:hAnsi="Times New Roman" w:cs="Times New Roman"/>
          <w:kern w:val="0"/>
          <w:szCs w:val="21"/>
        </w:rPr>
        <w:t>房环境</w:t>
      </w:r>
      <w:proofErr w:type="gramEnd"/>
      <w:r w:rsidRPr="00737794">
        <w:rPr>
          <w:rFonts w:ascii="Times New Roman" w:hAnsi="Times New Roman" w:cs="Times New Roman"/>
          <w:kern w:val="0"/>
          <w:szCs w:val="21"/>
        </w:rPr>
        <w:t>中至少适应</w:t>
      </w:r>
      <w:r w:rsidRPr="00737794">
        <w:rPr>
          <w:rFonts w:ascii="Times New Roman" w:hAnsi="Times New Roman" w:cs="Times New Roman"/>
          <w:kern w:val="0"/>
          <w:szCs w:val="21"/>
        </w:rPr>
        <w:t>5d</w:t>
      </w:r>
      <w:r w:rsidRPr="00737794">
        <w:rPr>
          <w:rFonts w:ascii="Times New Roman" w:hAnsi="Times New Roman" w:cs="Times New Roman"/>
          <w:kern w:val="0"/>
          <w:szCs w:val="21"/>
        </w:rPr>
        <w:t>。将动物随机分组标记（不要做任何形式的耳朵标记），检查皮肤应健康无损伤。试验开始和结束时应记录动物体重。</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5.3 </w:t>
      </w:r>
      <w:r w:rsidRPr="00737794">
        <w:rPr>
          <w:rFonts w:ascii="Times New Roman" w:hAnsi="Times New Roman" w:cs="Times New Roman"/>
          <w:kern w:val="0"/>
          <w:szCs w:val="21"/>
        </w:rPr>
        <w:t>可靠性检查</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每次试验均需设置阳性对照组，阳性</w:t>
      </w:r>
      <w:r w:rsidRPr="00737794">
        <w:rPr>
          <w:rFonts w:ascii="Times New Roman" w:hAnsi="Times New Roman" w:cs="Times New Roman" w:hint="eastAsia"/>
          <w:kern w:val="0"/>
          <w:szCs w:val="21"/>
        </w:rPr>
        <w:t>对照</w:t>
      </w:r>
      <w:r w:rsidRPr="00737794">
        <w:rPr>
          <w:rFonts w:ascii="Times New Roman" w:hAnsi="Times New Roman" w:cs="Times New Roman"/>
          <w:kern w:val="0"/>
          <w:szCs w:val="21"/>
        </w:rPr>
        <w:t>物一般采用</w:t>
      </w:r>
      <w:r w:rsidRPr="00737794">
        <w:rPr>
          <w:rFonts w:ascii="Times New Roman" w:hAnsi="Times New Roman" w:cs="Times New Roman"/>
          <w:kern w:val="0"/>
          <w:szCs w:val="21"/>
        </w:rPr>
        <w:t>25%</w:t>
      </w:r>
      <w:proofErr w:type="gramStart"/>
      <w:r w:rsidRPr="00737794">
        <w:rPr>
          <w:rFonts w:ascii="Times New Roman" w:hAnsi="Times New Roman" w:cs="Times New Roman"/>
          <w:kern w:val="0"/>
          <w:szCs w:val="21"/>
        </w:rPr>
        <w:t>己基肉桂</w:t>
      </w:r>
      <w:proofErr w:type="gramEnd"/>
      <w:r w:rsidRPr="00737794">
        <w:rPr>
          <w:rFonts w:ascii="Times New Roman" w:hAnsi="Times New Roman" w:cs="Times New Roman"/>
          <w:kern w:val="0"/>
          <w:szCs w:val="21"/>
        </w:rPr>
        <w:t>醛（</w:t>
      </w:r>
      <w:r w:rsidRPr="00737794">
        <w:rPr>
          <w:rFonts w:ascii="Times New Roman" w:hAnsi="Times New Roman" w:cs="Times New Roman"/>
          <w:kern w:val="0"/>
          <w:szCs w:val="21"/>
        </w:rPr>
        <w:t>CAS</w:t>
      </w:r>
      <w:r w:rsidRPr="00737794">
        <w:rPr>
          <w:rFonts w:ascii="Times New Roman" w:hAnsi="Times New Roman" w:cs="Times New Roman"/>
          <w:kern w:val="0"/>
          <w:szCs w:val="21"/>
        </w:rPr>
        <w:t>号</w:t>
      </w:r>
      <w:r w:rsidRPr="00737794">
        <w:rPr>
          <w:rFonts w:ascii="Times New Roman" w:hAnsi="Times New Roman" w:cs="Times New Roman"/>
          <w:kern w:val="0"/>
          <w:szCs w:val="21"/>
        </w:rPr>
        <w:t>101-86-0</w:t>
      </w:r>
      <w:r w:rsidRPr="00737794">
        <w:rPr>
          <w:rFonts w:ascii="Times New Roman" w:hAnsi="Times New Roman" w:cs="Times New Roman"/>
          <w:kern w:val="0"/>
          <w:szCs w:val="21"/>
        </w:rPr>
        <w:t>）或</w:t>
      </w:r>
      <w:r w:rsidRPr="00737794">
        <w:rPr>
          <w:rFonts w:ascii="Times New Roman" w:hAnsi="Times New Roman" w:cs="Times New Roman"/>
          <w:kern w:val="0"/>
          <w:szCs w:val="21"/>
        </w:rPr>
        <w:t>25%</w:t>
      </w:r>
      <w:proofErr w:type="gramStart"/>
      <w:r w:rsidRPr="00737794">
        <w:rPr>
          <w:rFonts w:ascii="Times New Roman" w:hAnsi="Times New Roman" w:cs="Times New Roman"/>
          <w:kern w:val="0"/>
          <w:szCs w:val="21"/>
        </w:rPr>
        <w:t>丁子</w:t>
      </w:r>
      <w:proofErr w:type="gramEnd"/>
      <w:r w:rsidRPr="00737794">
        <w:rPr>
          <w:rFonts w:ascii="Times New Roman" w:hAnsi="Times New Roman" w:cs="Times New Roman"/>
          <w:kern w:val="0"/>
          <w:szCs w:val="21"/>
        </w:rPr>
        <w:t>香</w:t>
      </w:r>
      <w:proofErr w:type="gramStart"/>
      <w:r w:rsidRPr="00737794">
        <w:rPr>
          <w:rFonts w:ascii="Times New Roman" w:hAnsi="Times New Roman" w:cs="Times New Roman"/>
          <w:kern w:val="0"/>
          <w:szCs w:val="21"/>
        </w:rPr>
        <w:t>酚</w:t>
      </w:r>
      <w:proofErr w:type="gramEnd"/>
      <w:r w:rsidRPr="00737794">
        <w:rPr>
          <w:rFonts w:ascii="Times New Roman" w:hAnsi="Times New Roman" w:cs="Times New Roman"/>
          <w:kern w:val="0"/>
          <w:szCs w:val="21"/>
        </w:rPr>
        <w:t>（</w:t>
      </w:r>
      <w:r w:rsidRPr="00737794">
        <w:rPr>
          <w:rFonts w:ascii="Times New Roman" w:hAnsi="Times New Roman" w:cs="Times New Roman"/>
          <w:kern w:val="0"/>
          <w:szCs w:val="21"/>
        </w:rPr>
        <w:t>CAS</w:t>
      </w:r>
      <w:r w:rsidRPr="00737794">
        <w:rPr>
          <w:rFonts w:ascii="Times New Roman" w:hAnsi="Times New Roman" w:cs="Times New Roman"/>
          <w:kern w:val="0"/>
          <w:szCs w:val="21"/>
        </w:rPr>
        <w:t>号</w:t>
      </w:r>
      <w:r w:rsidRPr="00737794">
        <w:rPr>
          <w:rFonts w:ascii="Times New Roman" w:hAnsi="Times New Roman" w:cs="Times New Roman"/>
          <w:kern w:val="0"/>
          <w:szCs w:val="21"/>
        </w:rPr>
        <w:t>97-53-0</w:t>
      </w:r>
      <w:r w:rsidRPr="00737794">
        <w:rPr>
          <w:rFonts w:ascii="Times New Roman" w:hAnsi="Times New Roman" w:cs="Times New Roman"/>
          <w:kern w:val="0"/>
          <w:szCs w:val="21"/>
        </w:rPr>
        <w:t>），溶剂为丙酮：橄榄油（</w:t>
      </w:r>
      <w:r w:rsidRPr="00737794">
        <w:rPr>
          <w:rFonts w:ascii="Times New Roman" w:hAnsi="Times New Roman" w:cs="Times New Roman"/>
          <w:kern w:val="0"/>
          <w:szCs w:val="21"/>
        </w:rPr>
        <w:t>AOO</w:t>
      </w:r>
      <w:r w:rsidRPr="00737794">
        <w:rPr>
          <w:rFonts w:ascii="Times New Roman" w:hAnsi="Times New Roman" w:cs="Times New Roman"/>
          <w:kern w:val="0"/>
          <w:szCs w:val="21"/>
        </w:rPr>
        <w:t>，</w:t>
      </w:r>
      <w:r w:rsidRPr="00737794">
        <w:rPr>
          <w:rFonts w:ascii="Times New Roman" w:hAnsi="Times New Roman" w:cs="Times New Roman"/>
          <w:kern w:val="0"/>
          <w:szCs w:val="21"/>
        </w:rPr>
        <w:t>4:1</w:t>
      </w:r>
      <w:r w:rsidRPr="00737794">
        <w:rPr>
          <w:rFonts w:ascii="Times New Roman" w:hAnsi="Times New Roman" w:cs="Times New Roman"/>
          <w:kern w:val="0"/>
          <w:szCs w:val="21"/>
        </w:rPr>
        <w:t>，</w:t>
      </w:r>
      <w:r w:rsidRPr="00737794">
        <w:rPr>
          <w:rFonts w:ascii="Times New Roman" w:hAnsi="Times New Roman" w:cs="Times New Roman"/>
          <w:kern w:val="0"/>
          <w:szCs w:val="21"/>
        </w:rPr>
        <w:t>v/v</w:t>
      </w:r>
      <w:r w:rsidRPr="00737794">
        <w:rPr>
          <w:rFonts w:ascii="Times New Roman" w:hAnsi="Times New Roman" w:cs="Times New Roman"/>
          <w:kern w:val="0"/>
          <w:szCs w:val="21"/>
        </w:rPr>
        <w:t>）。当阳性</w:t>
      </w:r>
      <w:r w:rsidRPr="00737794">
        <w:rPr>
          <w:rFonts w:ascii="Times New Roman" w:hAnsi="Times New Roman" w:cs="Times New Roman" w:hint="eastAsia"/>
          <w:kern w:val="0"/>
          <w:szCs w:val="21"/>
        </w:rPr>
        <w:t>对照</w:t>
      </w:r>
      <w:r w:rsidRPr="00737794">
        <w:rPr>
          <w:rFonts w:ascii="Times New Roman" w:hAnsi="Times New Roman" w:cs="Times New Roman"/>
          <w:kern w:val="0"/>
          <w:szCs w:val="21"/>
        </w:rPr>
        <w:t>物与受试物的溶剂不同时，需另单独设置阳性</w:t>
      </w:r>
      <w:r w:rsidRPr="00737794">
        <w:rPr>
          <w:rFonts w:ascii="Times New Roman" w:hAnsi="Times New Roman" w:cs="Times New Roman" w:hint="eastAsia"/>
          <w:kern w:val="0"/>
          <w:szCs w:val="21"/>
        </w:rPr>
        <w:t>对照</w:t>
      </w:r>
      <w:r w:rsidRPr="00737794">
        <w:rPr>
          <w:rFonts w:ascii="Times New Roman" w:hAnsi="Times New Roman" w:cs="Times New Roman"/>
          <w:kern w:val="0"/>
          <w:szCs w:val="21"/>
        </w:rPr>
        <w:t>物的溶剂对照组。</w:t>
      </w:r>
    </w:p>
    <w:p w:rsidR="00D9528B" w:rsidRPr="00737794" w:rsidRDefault="004E2EF6" w:rsidP="00FA1B99">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kern w:val="0"/>
          <w:szCs w:val="21"/>
        </w:rPr>
        <w:t xml:space="preserve">5.4 </w:t>
      </w:r>
      <w:r w:rsidRPr="00737794">
        <w:rPr>
          <w:rFonts w:ascii="Times New Roman" w:hAnsi="Times New Roman" w:cs="Times New Roman" w:hint="eastAsia"/>
          <w:kern w:val="0"/>
          <w:szCs w:val="21"/>
        </w:rPr>
        <w:t>观察指标</w:t>
      </w:r>
    </w:p>
    <w:p w:rsidR="00D9528B" w:rsidRPr="00737794" w:rsidRDefault="004E2EF6" w:rsidP="00737794">
      <w:pPr>
        <w:autoSpaceDE w:val="0"/>
        <w:autoSpaceDN w:val="0"/>
        <w:spacing w:line="300" w:lineRule="auto"/>
        <w:ind w:firstLineChars="200" w:firstLine="420"/>
        <w:jc w:val="left"/>
        <w:rPr>
          <w:rFonts w:ascii="Times New Roman" w:hAnsi="Times New Roman" w:cs="Times New Roman"/>
          <w:kern w:val="0"/>
          <w:szCs w:val="21"/>
        </w:rPr>
      </w:pPr>
      <w:r w:rsidRPr="00737794">
        <w:rPr>
          <w:rFonts w:ascii="Times New Roman" w:hAnsi="Times New Roman" w:cs="Times New Roman"/>
          <w:kern w:val="0"/>
          <w:szCs w:val="21"/>
        </w:rPr>
        <w:t>试验期间每天观察动物临床症状及耳朵局部刺激症状，并完整记录。</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bCs/>
          <w:kern w:val="0"/>
          <w:szCs w:val="21"/>
        </w:rPr>
        <w:t xml:space="preserve">6 </w:t>
      </w:r>
      <w:r w:rsidRPr="00737794">
        <w:rPr>
          <w:rFonts w:ascii="Times New Roman" w:eastAsia="黑体" w:hAnsi="Times New Roman" w:cs="Times New Roman" w:hint="eastAsia"/>
          <w:bCs/>
          <w:kern w:val="0"/>
          <w:szCs w:val="21"/>
        </w:rPr>
        <w:t>仪器</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hint="eastAsia"/>
          <w:kern w:val="0"/>
          <w:szCs w:val="21"/>
        </w:rPr>
        <w:t>流式细胞仪，光学参数应包括前向（</w:t>
      </w:r>
      <w:r w:rsidRPr="00737794">
        <w:rPr>
          <w:rFonts w:ascii="Times New Roman" w:hAnsi="Times New Roman" w:cs="Times New Roman" w:hint="eastAsia"/>
          <w:kern w:val="0"/>
          <w:szCs w:val="21"/>
        </w:rPr>
        <w:t>SS</w:t>
      </w:r>
      <w:r w:rsidRPr="00737794">
        <w:rPr>
          <w:rFonts w:ascii="Times New Roman" w:hAnsi="Times New Roman" w:cs="Times New Roman" w:hint="eastAsia"/>
          <w:kern w:val="0"/>
          <w:szCs w:val="21"/>
        </w:rPr>
        <w:t>）、侧向（</w:t>
      </w:r>
      <w:r w:rsidRPr="00737794">
        <w:rPr>
          <w:rFonts w:ascii="Times New Roman" w:hAnsi="Times New Roman" w:cs="Times New Roman" w:hint="eastAsia"/>
          <w:kern w:val="0"/>
          <w:szCs w:val="21"/>
        </w:rPr>
        <w:t>FS</w:t>
      </w:r>
      <w:r w:rsidRPr="00737794">
        <w:rPr>
          <w:rFonts w:ascii="Times New Roman" w:hAnsi="Times New Roman" w:cs="Times New Roman" w:hint="eastAsia"/>
          <w:kern w:val="0"/>
          <w:szCs w:val="21"/>
        </w:rPr>
        <w:t>）、</w:t>
      </w:r>
      <w:r w:rsidRPr="00737794">
        <w:rPr>
          <w:rFonts w:ascii="Times New Roman" w:hAnsi="Times New Roman" w:cs="Times New Roman" w:hint="eastAsia"/>
          <w:kern w:val="0"/>
          <w:szCs w:val="21"/>
        </w:rPr>
        <w:t>7-AAD</w:t>
      </w:r>
      <w:r w:rsidRPr="00737794">
        <w:rPr>
          <w:rFonts w:ascii="Times New Roman" w:hAnsi="Times New Roman" w:cs="Times New Roman" w:hint="eastAsia"/>
          <w:kern w:val="0"/>
          <w:szCs w:val="21"/>
        </w:rPr>
        <w:t>及</w:t>
      </w:r>
      <w:r w:rsidRPr="00737794">
        <w:rPr>
          <w:rFonts w:ascii="Times New Roman" w:hAnsi="Times New Roman" w:cs="Times New Roman"/>
          <w:kern w:val="0"/>
          <w:szCs w:val="21"/>
        </w:rPr>
        <w:t>FITC</w:t>
      </w:r>
      <w:r w:rsidRPr="00737794">
        <w:rPr>
          <w:rFonts w:ascii="Times New Roman" w:hAnsi="Times New Roman" w:cs="Times New Roman" w:hint="eastAsia"/>
          <w:kern w:val="0"/>
          <w:szCs w:val="21"/>
        </w:rPr>
        <w:t>荧光检测器，可检测</w:t>
      </w:r>
      <w:proofErr w:type="spellStart"/>
      <w:r w:rsidRPr="00737794">
        <w:rPr>
          <w:rFonts w:ascii="Times New Roman" w:hAnsi="Times New Roman" w:cs="Times New Roman" w:hint="eastAsia"/>
          <w:kern w:val="0"/>
          <w:szCs w:val="21"/>
        </w:rPr>
        <w:t>BrdU</w:t>
      </w:r>
      <w:proofErr w:type="spellEnd"/>
      <w:r w:rsidRPr="00737794">
        <w:rPr>
          <w:rFonts w:ascii="Times New Roman" w:hAnsi="Times New Roman" w:cs="Times New Roman" w:hint="eastAsia"/>
          <w:kern w:val="0"/>
          <w:szCs w:val="21"/>
        </w:rPr>
        <w:t>和</w:t>
      </w:r>
      <w:r w:rsidRPr="00737794">
        <w:rPr>
          <w:rFonts w:ascii="Times New Roman" w:hAnsi="Times New Roman" w:cs="Times New Roman" w:hint="eastAsia"/>
          <w:kern w:val="0"/>
          <w:szCs w:val="21"/>
        </w:rPr>
        <w:t>7-AAD</w:t>
      </w:r>
      <w:r w:rsidRPr="00737794">
        <w:rPr>
          <w:rFonts w:ascii="Times New Roman" w:hAnsi="Times New Roman" w:cs="Times New Roman" w:hint="eastAsia"/>
          <w:kern w:val="0"/>
          <w:szCs w:val="21"/>
        </w:rPr>
        <w:t>标记的细胞。</w:t>
      </w:r>
    </w:p>
    <w:bookmarkEnd w:id="1"/>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hint="eastAsia"/>
          <w:bCs/>
          <w:kern w:val="0"/>
          <w:szCs w:val="21"/>
        </w:rPr>
        <w:t>7</w:t>
      </w:r>
      <w:r w:rsidRPr="00737794">
        <w:rPr>
          <w:rFonts w:ascii="Times New Roman" w:eastAsia="黑体" w:hAnsi="Times New Roman" w:cs="Times New Roman"/>
          <w:bCs/>
          <w:kern w:val="0"/>
          <w:szCs w:val="21"/>
        </w:rPr>
        <w:t xml:space="preserve"> </w:t>
      </w:r>
      <w:r w:rsidRPr="00737794">
        <w:rPr>
          <w:rFonts w:ascii="Times New Roman" w:eastAsia="黑体" w:hAnsi="Times New Roman" w:cs="Times New Roman"/>
          <w:bCs/>
          <w:kern w:val="0"/>
          <w:szCs w:val="21"/>
        </w:rPr>
        <w:t>试验方法</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进行本试验前，需通过预试验（每组</w:t>
      </w:r>
      <w:r w:rsidRPr="00737794">
        <w:rPr>
          <w:rFonts w:ascii="Times New Roman" w:hAnsi="Times New Roman" w:cs="Times New Roman"/>
          <w:kern w:val="0"/>
          <w:szCs w:val="21"/>
        </w:rPr>
        <w:t>1</w:t>
      </w:r>
      <w:r w:rsidRPr="00737794">
        <w:rPr>
          <w:rFonts w:ascii="Times New Roman" w:hAnsi="Times New Roman" w:cs="Times New Roman"/>
          <w:kern w:val="0"/>
          <w:szCs w:val="21"/>
        </w:rPr>
        <w:t>～</w:t>
      </w:r>
      <w:r w:rsidRPr="00737794">
        <w:rPr>
          <w:rFonts w:ascii="Times New Roman" w:hAnsi="Times New Roman" w:cs="Times New Roman"/>
          <w:kern w:val="0"/>
          <w:szCs w:val="21"/>
        </w:rPr>
        <w:t>2</w:t>
      </w:r>
      <w:r w:rsidRPr="00737794">
        <w:rPr>
          <w:rFonts w:ascii="Times New Roman" w:hAnsi="Times New Roman" w:cs="Times New Roman"/>
          <w:kern w:val="0"/>
          <w:szCs w:val="21"/>
        </w:rPr>
        <w:t>只动物）排除受试物引起全身毒性和（或）局部皮肤中度刺激性。筛选最大剂量水平要求：液体受试物达到</w:t>
      </w:r>
      <w:r w:rsidRPr="00737794">
        <w:rPr>
          <w:rFonts w:ascii="Times New Roman" w:hAnsi="Times New Roman" w:cs="Times New Roman"/>
          <w:kern w:val="0"/>
          <w:szCs w:val="21"/>
        </w:rPr>
        <w:t>100%</w:t>
      </w:r>
      <w:r w:rsidRPr="00737794">
        <w:rPr>
          <w:rFonts w:ascii="Times New Roman" w:hAnsi="Times New Roman" w:cs="Times New Roman"/>
          <w:kern w:val="0"/>
          <w:szCs w:val="21"/>
        </w:rPr>
        <w:t>浓度，固体或悬浮液达到最大可</w:t>
      </w:r>
      <w:r w:rsidRPr="00737794">
        <w:rPr>
          <w:rFonts w:ascii="Times New Roman" w:hAnsi="Times New Roman" w:cs="Times New Roman" w:hint="eastAsia"/>
          <w:kern w:val="0"/>
          <w:szCs w:val="21"/>
        </w:rPr>
        <w:t>使用</w:t>
      </w:r>
      <w:r w:rsidRPr="00737794">
        <w:rPr>
          <w:rFonts w:ascii="Times New Roman" w:hAnsi="Times New Roman" w:cs="Times New Roman"/>
          <w:kern w:val="0"/>
          <w:szCs w:val="21"/>
        </w:rPr>
        <w:t>浓度。</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highlight w:val="yellow"/>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.1 </w:t>
      </w:r>
      <w:r w:rsidRPr="00737794">
        <w:rPr>
          <w:rFonts w:ascii="Times New Roman" w:hAnsi="Times New Roman" w:cs="Times New Roman"/>
          <w:kern w:val="0"/>
          <w:szCs w:val="21"/>
        </w:rPr>
        <w:t>分组</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动物随机分为阴性（溶剂）对照组、阳性对照组和受试物组（至少</w:t>
      </w:r>
      <w:r w:rsidRPr="00737794">
        <w:rPr>
          <w:rFonts w:ascii="Times New Roman" w:hAnsi="Times New Roman" w:cs="Times New Roman"/>
          <w:kern w:val="0"/>
          <w:szCs w:val="21"/>
        </w:rPr>
        <w:t>3</w:t>
      </w:r>
      <w:r w:rsidRPr="00737794">
        <w:rPr>
          <w:rFonts w:ascii="Times New Roman" w:hAnsi="Times New Roman" w:cs="Times New Roman"/>
          <w:kern w:val="0"/>
          <w:szCs w:val="21"/>
        </w:rPr>
        <w:t>个浓度），每组至少</w:t>
      </w:r>
      <w:r w:rsidRPr="00737794">
        <w:rPr>
          <w:rFonts w:ascii="Times New Roman" w:hAnsi="Times New Roman" w:cs="Times New Roman"/>
          <w:kern w:val="0"/>
          <w:szCs w:val="21"/>
        </w:rPr>
        <w:t>4</w:t>
      </w:r>
      <w:r w:rsidRPr="00737794">
        <w:rPr>
          <w:rFonts w:ascii="Times New Roman" w:hAnsi="Times New Roman" w:cs="Times New Roman"/>
          <w:kern w:val="0"/>
          <w:szCs w:val="21"/>
        </w:rPr>
        <w:t>只动物。另</w:t>
      </w:r>
      <w:r w:rsidRPr="00737794">
        <w:rPr>
          <w:rFonts w:ascii="Times New Roman" w:hAnsi="Times New Roman" w:cs="Times New Roman" w:hint="eastAsia"/>
          <w:kern w:val="0"/>
          <w:szCs w:val="21"/>
        </w:rPr>
        <w:t>取</w:t>
      </w:r>
      <w:r w:rsidRPr="00737794">
        <w:rPr>
          <w:rFonts w:ascii="Times New Roman" w:hAnsi="Times New Roman" w:cs="Times New Roman" w:hint="eastAsia"/>
          <w:kern w:val="0"/>
          <w:szCs w:val="21"/>
        </w:rPr>
        <w:t>2</w:t>
      </w:r>
      <w:r w:rsidRPr="00737794">
        <w:rPr>
          <w:rFonts w:ascii="Times New Roman" w:hAnsi="Times New Roman" w:cs="Times New Roman" w:hint="eastAsia"/>
          <w:kern w:val="0"/>
          <w:szCs w:val="21"/>
        </w:rPr>
        <w:t>只动物，分别为</w:t>
      </w:r>
      <w:bookmarkStart w:id="2" w:name="OLE_LINK1"/>
      <w:r w:rsidRPr="00737794">
        <w:rPr>
          <w:rFonts w:ascii="Times New Roman" w:hAnsi="Times New Roman" w:cs="Times New Roman"/>
          <w:kern w:val="0"/>
          <w:szCs w:val="21"/>
        </w:rPr>
        <w:t>空白对照动物</w:t>
      </w:r>
      <w:r w:rsidRPr="00737794">
        <w:rPr>
          <w:rFonts w:ascii="Times New Roman" w:hAnsi="Times New Roman" w:cs="Times New Roman" w:hint="eastAsia"/>
          <w:kern w:val="0"/>
          <w:szCs w:val="21"/>
        </w:rPr>
        <w:t>和未处理</w:t>
      </w:r>
      <w:r w:rsidRPr="00737794">
        <w:rPr>
          <w:rFonts w:ascii="Times New Roman" w:hAnsi="Times New Roman" w:cs="Times New Roman"/>
          <w:kern w:val="0"/>
          <w:szCs w:val="21"/>
        </w:rPr>
        <w:t>对照动物</w:t>
      </w:r>
      <w:bookmarkEnd w:id="2"/>
      <w:r w:rsidRPr="00737794">
        <w:rPr>
          <w:rFonts w:ascii="Times New Roman" w:hAnsi="Times New Roman" w:cs="Times New Roman" w:hint="eastAsia"/>
          <w:kern w:val="0"/>
          <w:szCs w:val="21"/>
        </w:rPr>
        <w:t>：空白对照小鼠</w:t>
      </w:r>
      <w:r w:rsidRPr="00737794">
        <w:rPr>
          <w:rFonts w:ascii="Times New Roman" w:hAnsi="Times New Roman" w:cs="Times New Roman"/>
          <w:kern w:val="0"/>
          <w:szCs w:val="21"/>
        </w:rPr>
        <w:t>不做任何处理</w:t>
      </w:r>
      <w:r w:rsidRPr="00737794">
        <w:rPr>
          <w:rFonts w:ascii="Times New Roman" w:hAnsi="Times New Roman" w:cs="Times New Roman" w:hint="eastAsia"/>
          <w:kern w:val="0"/>
          <w:szCs w:val="21"/>
        </w:rPr>
        <w:t>，样本用于流式细胞仪检测时调节电压和增益；未处理对照小鼠腹腔注射</w:t>
      </w:r>
      <w:r w:rsidRPr="00737794">
        <w:rPr>
          <w:rFonts w:ascii="Times New Roman" w:hAnsi="Times New Roman" w:cs="Times New Roman" w:hint="eastAsia"/>
          <w:kern w:val="0"/>
          <w:szCs w:val="21"/>
        </w:rPr>
        <w:t xml:space="preserve"> </w:t>
      </w:r>
      <w:proofErr w:type="spellStart"/>
      <w:r w:rsidRPr="00737794">
        <w:rPr>
          <w:rFonts w:ascii="Times New Roman" w:hAnsi="Times New Roman" w:cs="Times New Roman" w:hint="eastAsia"/>
          <w:kern w:val="0"/>
          <w:szCs w:val="21"/>
        </w:rPr>
        <w:t>BrdU</w:t>
      </w:r>
      <w:proofErr w:type="spellEnd"/>
      <w:r w:rsidRPr="00737794">
        <w:rPr>
          <w:rFonts w:ascii="Times New Roman" w:hAnsi="Times New Roman" w:cs="Times New Roman" w:hint="eastAsia"/>
          <w:kern w:val="0"/>
          <w:szCs w:val="21"/>
        </w:rPr>
        <w:t>标记液，样本用于流式细胞仪检测时背景值的控制。</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.2 </w:t>
      </w:r>
      <w:r w:rsidRPr="00737794">
        <w:rPr>
          <w:rFonts w:ascii="Times New Roman" w:hAnsi="Times New Roman" w:cs="Times New Roman"/>
          <w:kern w:val="0"/>
          <w:szCs w:val="21"/>
        </w:rPr>
        <w:t>受试物配制</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固体受试物应溶于或悬浮于适当溶剂中并稀释，液体受试物可以直接</w:t>
      </w:r>
      <w:r w:rsidRPr="00737794">
        <w:rPr>
          <w:rFonts w:ascii="Times New Roman" w:hAnsi="Times New Roman" w:cs="Times New Roman" w:hint="eastAsia"/>
          <w:kern w:val="0"/>
          <w:szCs w:val="21"/>
        </w:rPr>
        <w:t>使用</w:t>
      </w:r>
      <w:r w:rsidRPr="00737794">
        <w:rPr>
          <w:rFonts w:ascii="Times New Roman" w:hAnsi="Times New Roman" w:cs="Times New Roman"/>
          <w:kern w:val="0"/>
          <w:szCs w:val="21"/>
        </w:rPr>
        <w:t>或</w:t>
      </w:r>
      <w:r w:rsidRPr="00737794">
        <w:rPr>
          <w:rFonts w:ascii="Times New Roman" w:hAnsi="Times New Roman" w:cs="Times New Roman" w:hint="eastAsia"/>
          <w:kern w:val="0"/>
          <w:szCs w:val="21"/>
        </w:rPr>
        <w:t>予以</w:t>
      </w:r>
      <w:r w:rsidRPr="00737794">
        <w:rPr>
          <w:rFonts w:ascii="Times New Roman" w:hAnsi="Times New Roman" w:cs="Times New Roman"/>
          <w:kern w:val="0"/>
          <w:szCs w:val="21"/>
        </w:rPr>
        <w:t>稀释用。受试物应现用现配。</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bookmarkStart w:id="3" w:name="_Hlk516561497"/>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.3 </w:t>
      </w:r>
      <w:r w:rsidRPr="00737794">
        <w:rPr>
          <w:rFonts w:ascii="Times New Roman" w:hAnsi="Times New Roman" w:cs="Times New Roman"/>
          <w:kern w:val="0"/>
          <w:szCs w:val="21"/>
        </w:rPr>
        <w:t>溶剂的选择</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lastRenderedPageBreak/>
        <w:t>常用溶剂为丙酮：橄榄油（</w:t>
      </w:r>
      <w:r w:rsidRPr="00737794">
        <w:rPr>
          <w:rFonts w:ascii="Times New Roman" w:hAnsi="Times New Roman" w:cs="Times New Roman"/>
          <w:kern w:val="0"/>
          <w:szCs w:val="21"/>
        </w:rPr>
        <w:t>AOO</w:t>
      </w:r>
      <w:r w:rsidRPr="00737794">
        <w:rPr>
          <w:rFonts w:ascii="Times New Roman" w:hAnsi="Times New Roman" w:cs="Times New Roman"/>
          <w:kern w:val="0"/>
          <w:szCs w:val="21"/>
        </w:rPr>
        <w:t>，</w:t>
      </w:r>
      <w:r w:rsidRPr="00737794">
        <w:rPr>
          <w:rFonts w:ascii="Times New Roman" w:hAnsi="Times New Roman" w:cs="Times New Roman"/>
          <w:kern w:val="0"/>
          <w:szCs w:val="21"/>
        </w:rPr>
        <w:t>4:1</w:t>
      </w:r>
      <w:r w:rsidRPr="00737794">
        <w:rPr>
          <w:rFonts w:ascii="Times New Roman" w:hAnsi="Times New Roman" w:cs="Times New Roman"/>
          <w:kern w:val="0"/>
          <w:szCs w:val="21"/>
        </w:rPr>
        <w:t>，</w:t>
      </w:r>
      <w:r w:rsidRPr="00737794">
        <w:rPr>
          <w:rFonts w:ascii="Times New Roman" w:hAnsi="Times New Roman" w:cs="Times New Roman"/>
          <w:kern w:val="0"/>
          <w:szCs w:val="21"/>
        </w:rPr>
        <w:t>v/v</w:t>
      </w:r>
      <w:r w:rsidRPr="00737794">
        <w:rPr>
          <w:rFonts w:ascii="Times New Roman" w:hAnsi="Times New Roman" w:cs="Times New Roman"/>
          <w:kern w:val="0"/>
          <w:szCs w:val="21"/>
        </w:rPr>
        <w:t>）、</w:t>
      </w:r>
      <w:r w:rsidRPr="00737794">
        <w:rPr>
          <w:rFonts w:ascii="Times New Roman" w:hAnsi="Times New Roman" w:cs="Times New Roman"/>
          <w:kern w:val="0"/>
          <w:szCs w:val="21"/>
        </w:rPr>
        <w:t>N,N-</w:t>
      </w:r>
      <w:r w:rsidRPr="00737794">
        <w:rPr>
          <w:rFonts w:ascii="Times New Roman" w:hAnsi="Times New Roman" w:cs="Times New Roman"/>
          <w:kern w:val="0"/>
          <w:szCs w:val="21"/>
        </w:rPr>
        <w:t>二甲基甲酰胺（</w:t>
      </w:r>
      <w:r w:rsidRPr="00737794">
        <w:rPr>
          <w:rFonts w:ascii="Times New Roman" w:hAnsi="Times New Roman" w:cs="Times New Roman"/>
          <w:kern w:val="0"/>
          <w:szCs w:val="21"/>
        </w:rPr>
        <w:t>DMF</w:t>
      </w:r>
      <w:r w:rsidRPr="00737794">
        <w:rPr>
          <w:rFonts w:ascii="Times New Roman" w:hAnsi="Times New Roman" w:cs="Times New Roman"/>
          <w:kern w:val="0"/>
          <w:szCs w:val="21"/>
        </w:rPr>
        <w:t>）、甲乙酮（</w:t>
      </w:r>
      <w:r w:rsidRPr="00737794">
        <w:rPr>
          <w:rFonts w:ascii="Times New Roman" w:hAnsi="Times New Roman" w:cs="Times New Roman"/>
          <w:kern w:val="0"/>
          <w:szCs w:val="21"/>
        </w:rPr>
        <w:t>MEK</w:t>
      </w:r>
      <w:r w:rsidRPr="00737794">
        <w:rPr>
          <w:rFonts w:ascii="Times New Roman" w:hAnsi="Times New Roman" w:cs="Times New Roman"/>
          <w:kern w:val="0"/>
          <w:szCs w:val="21"/>
        </w:rPr>
        <w:t>）、丙烯乙二醇、二甲基亚砜（</w:t>
      </w:r>
      <w:r w:rsidRPr="00737794">
        <w:rPr>
          <w:rFonts w:ascii="Times New Roman" w:hAnsi="Times New Roman" w:cs="Times New Roman"/>
          <w:kern w:val="0"/>
          <w:szCs w:val="21"/>
        </w:rPr>
        <w:t>DMSO</w:t>
      </w:r>
      <w:r w:rsidRPr="00737794">
        <w:rPr>
          <w:rFonts w:ascii="Times New Roman" w:hAnsi="Times New Roman" w:cs="Times New Roman"/>
          <w:kern w:val="0"/>
          <w:szCs w:val="21"/>
        </w:rPr>
        <w:t>）等。</w:t>
      </w:r>
    </w:p>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.4 </w:t>
      </w:r>
      <w:r w:rsidRPr="00737794">
        <w:rPr>
          <w:rFonts w:ascii="Times New Roman" w:hAnsi="Times New Roman" w:cs="Times New Roman"/>
          <w:kern w:val="0"/>
          <w:szCs w:val="21"/>
        </w:rPr>
        <w:t>剂量水平</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受试</w:t>
      </w:r>
      <w:proofErr w:type="gramStart"/>
      <w:r w:rsidRPr="00737794">
        <w:rPr>
          <w:rFonts w:ascii="Times New Roman" w:hAnsi="Times New Roman" w:cs="Times New Roman"/>
          <w:kern w:val="0"/>
          <w:szCs w:val="21"/>
        </w:rPr>
        <w:t>物最高</w:t>
      </w:r>
      <w:proofErr w:type="gramEnd"/>
      <w:r w:rsidRPr="00737794">
        <w:rPr>
          <w:rFonts w:ascii="Times New Roman" w:hAnsi="Times New Roman" w:cs="Times New Roman"/>
          <w:kern w:val="0"/>
          <w:szCs w:val="21"/>
        </w:rPr>
        <w:t>浓度应不引起动物全身毒性和（或）局部皮肤中度刺激性，通过</w:t>
      </w:r>
      <w:proofErr w:type="gramStart"/>
      <w:r w:rsidRPr="00737794">
        <w:rPr>
          <w:rFonts w:ascii="Times New Roman" w:hAnsi="Times New Roman" w:cs="Times New Roman"/>
          <w:kern w:val="0"/>
          <w:szCs w:val="21"/>
        </w:rPr>
        <w:t>预试验按</w:t>
      </w:r>
      <w:proofErr w:type="gramEnd"/>
      <w:r w:rsidRPr="00737794">
        <w:rPr>
          <w:rFonts w:ascii="Times New Roman" w:hAnsi="Times New Roman" w:cs="Times New Roman"/>
          <w:kern w:val="0"/>
          <w:szCs w:val="21"/>
        </w:rPr>
        <w:t>合适浓度梯度如</w:t>
      </w:r>
      <w:r w:rsidRPr="00737794">
        <w:rPr>
          <w:rFonts w:ascii="Times New Roman" w:hAnsi="Times New Roman" w:cs="Times New Roman"/>
          <w:kern w:val="0"/>
          <w:szCs w:val="21"/>
        </w:rPr>
        <w:t>100%</w:t>
      </w:r>
      <w:r w:rsidRPr="00737794">
        <w:rPr>
          <w:rFonts w:ascii="Times New Roman" w:hAnsi="Times New Roman" w:cs="Times New Roman"/>
          <w:kern w:val="0"/>
          <w:szCs w:val="21"/>
        </w:rPr>
        <w:t>、</w:t>
      </w:r>
      <w:r w:rsidRPr="00737794">
        <w:rPr>
          <w:rFonts w:ascii="Times New Roman" w:hAnsi="Times New Roman" w:cs="Times New Roman"/>
          <w:kern w:val="0"/>
          <w:szCs w:val="21"/>
        </w:rPr>
        <w:t>50%</w:t>
      </w:r>
      <w:r w:rsidRPr="00737794">
        <w:rPr>
          <w:rFonts w:ascii="Times New Roman" w:hAnsi="Times New Roman" w:cs="Times New Roman"/>
          <w:kern w:val="0"/>
          <w:szCs w:val="21"/>
        </w:rPr>
        <w:t>、</w:t>
      </w:r>
      <w:r w:rsidRPr="00737794">
        <w:rPr>
          <w:rFonts w:ascii="Times New Roman" w:hAnsi="Times New Roman" w:cs="Times New Roman"/>
          <w:kern w:val="0"/>
          <w:szCs w:val="21"/>
        </w:rPr>
        <w:t>25%</w:t>
      </w:r>
      <w:r w:rsidRPr="00737794">
        <w:rPr>
          <w:rFonts w:ascii="Times New Roman" w:hAnsi="Times New Roman" w:cs="Times New Roman"/>
          <w:kern w:val="0"/>
          <w:szCs w:val="21"/>
        </w:rPr>
        <w:t>、</w:t>
      </w:r>
      <w:r w:rsidRPr="00737794">
        <w:rPr>
          <w:rFonts w:ascii="Times New Roman" w:hAnsi="Times New Roman" w:cs="Times New Roman"/>
          <w:kern w:val="0"/>
          <w:szCs w:val="21"/>
        </w:rPr>
        <w:t>10%</w:t>
      </w:r>
      <w:r w:rsidRPr="00737794">
        <w:rPr>
          <w:rFonts w:ascii="Times New Roman" w:hAnsi="Times New Roman" w:cs="Times New Roman"/>
          <w:kern w:val="0"/>
          <w:szCs w:val="21"/>
        </w:rPr>
        <w:t>、</w:t>
      </w:r>
      <w:r w:rsidRPr="00737794">
        <w:rPr>
          <w:rFonts w:ascii="Times New Roman" w:hAnsi="Times New Roman" w:cs="Times New Roman"/>
          <w:kern w:val="0"/>
          <w:szCs w:val="21"/>
        </w:rPr>
        <w:t>5%</w:t>
      </w:r>
      <w:r w:rsidRPr="00737794">
        <w:rPr>
          <w:rFonts w:ascii="Times New Roman" w:hAnsi="Times New Roman" w:cs="Times New Roman"/>
          <w:kern w:val="0"/>
          <w:szCs w:val="21"/>
        </w:rPr>
        <w:t>、</w:t>
      </w:r>
      <w:r w:rsidRPr="00737794">
        <w:rPr>
          <w:rFonts w:ascii="Times New Roman" w:hAnsi="Times New Roman" w:cs="Times New Roman"/>
          <w:kern w:val="0"/>
          <w:szCs w:val="21"/>
        </w:rPr>
        <w:t>2.5%</w:t>
      </w:r>
      <w:r w:rsidRPr="00737794">
        <w:rPr>
          <w:rFonts w:ascii="Times New Roman" w:hAnsi="Times New Roman" w:cs="Times New Roman"/>
          <w:kern w:val="0"/>
          <w:szCs w:val="21"/>
        </w:rPr>
        <w:t>、</w:t>
      </w:r>
      <w:r w:rsidRPr="00737794">
        <w:rPr>
          <w:rFonts w:ascii="Times New Roman" w:hAnsi="Times New Roman" w:cs="Times New Roman"/>
          <w:kern w:val="0"/>
          <w:szCs w:val="21"/>
        </w:rPr>
        <w:t>1%</w:t>
      </w:r>
      <w:r w:rsidRPr="00737794">
        <w:rPr>
          <w:rFonts w:ascii="Times New Roman" w:hAnsi="Times New Roman" w:cs="Times New Roman"/>
          <w:kern w:val="0"/>
          <w:szCs w:val="21"/>
        </w:rPr>
        <w:t>、</w:t>
      </w:r>
      <w:r w:rsidRPr="00737794">
        <w:rPr>
          <w:rFonts w:ascii="Times New Roman" w:hAnsi="Times New Roman" w:cs="Times New Roman"/>
          <w:kern w:val="0"/>
          <w:szCs w:val="21"/>
        </w:rPr>
        <w:t>0.5%</w:t>
      </w:r>
      <w:r w:rsidRPr="00737794">
        <w:rPr>
          <w:rFonts w:ascii="Times New Roman" w:hAnsi="Times New Roman" w:cs="Times New Roman"/>
          <w:kern w:val="0"/>
          <w:szCs w:val="21"/>
        </w:rPr>
        <w:t>等选择三个连续的试验浓度。</w:t>
      </w:r>
    </w:p>
    <w:bookmarkEnd w:id="3"/>
    <w:p w:rsidR="00D9528B" w:rsidRPr="00737794" w:rsidRDefault="004E2EF6" w:rsidP="00737794">
      <w:pPr>
        <w:autoSpaceDE w:val="0"/>
        <w:autoSpaceDN w:val="0"/>
        <w:spacing w:beforeLines="50" w:before="156" w:afterLines="50" w:after="156"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 </w:t>
      </w:r>
      <w:r w:rsidRPr="00737794">
        <w:rPr>
          <w:rFonts w:ascii="Times New Roman" w:hAnsi="Times New Roman" w:cs="Times New Roman"/>
          <w:kern w:val="0"/>
          <w:szCs w:val="21"/>
        </w:rPr>
        <w:t>试验步骤</w:t>
      </w: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.5.1 </w:t>
      </w:r>
      <w:r w:rsidRPr="00737794">
        <w:rPr>
          <w:rFonts w:ascii="Times New Roman" w:hAnsi="Times New Roman" w:cs="Times New Roman"/>
          <w:kern w:val="0"/>
          <w:szCs w:val="21"/>
        </w:rPr>
        <w:t>第</w:t>
      </w:r>
      <w:r w:rsidRPr="00737794">
        <w:rPr>
          <w:rFonts w:ascii="Times New Roman" w:hAnsi="Times New Roman" w:cs="Times New Roman"/>
          <w:kern w:val="0"/>
          <w:szCs w:val="21"/>
        </w:rPr>
        <w:t>1d</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动物随机分组并标记、称重、记录临床症状。将受试物或对照均匀涂抹到小鼠双侧耳朵背部皮肤，</w:t>
      </w:r>
      <w:r w:rsidRPr="00737794">
        <w:rPr>
          <w:rFonts w:ascii="Times New Roman" w:hAnsi="Times New Roman" w:cs="Times New Roman"/>
          <w:kern w:val="0"/>
          <w:szCs w:val="21"/>
        </w:rPr>
        <w:t>25μL/</w:t>
      </w:r>
      <w:r w:rsidRPr="00737794">
        <w:rPr>
          <w:rFonts w:ascii="Times New Roman" w:hAnsi="Times New Roman" w:cs="Times New Roman"/>
          <w:kern w:val="0"/>
          <w:szCs w:val="21"/>
        </w:rPr>
        <w:t>耳。空白对照</w:t>
      </w:r>
      <w:r w:rsidRPr="00737794">
        <w:rPr>
          <w:rFonts w:ascii="Times New Roman" w:hAnsi="Times New Roman" w:cs="Times New Roman" w:hint="eastAsia"/>
          <w:kern w:val="0"/>
          <w:szCs w:val="21"/>
        </w:rPr>
        <w:t>和未处理</w:t>
      </w:r>
      <w:r w:rsidRPr="00737794">
        <w:rPr>
          <w:rFonts w:ascii="Times New Roman" w:hAnsi="Times New Roman" w:cs="Times New Roman"/>
          <w:kern w:val="0"/>
          <w:szCs w:val="21"/>
        </w:rPr>
        <w:t>对照</w:t>
      </w:r>
      <w:r w:rsidRPr="00737794">
        <w:rPr>
          <w:rFonts w:ascii="Times New Roman" w:hAnsi="Times New Roman" w:cs="Times New Roman" w:hint="eastAsia"/>
          <w:kern w:val="0"/>
          <w:szCs w:val="21"/>
        </w:rPr>
        <w:t>的</w:t>
      </w:r>
      <w:r w:rsidRPr="00737794">
        <w:rPr>
          <w:rFonts w:ascii="Times New Roman" w:hAnsi="Times New Roman" w:cs="Times New Roman"/>
          <w:kern w:val="0"/>
          <w:szCs w:val="21"/>
        </w:rPr>
        <w:t>小鼠不涂抹。</w:t>
      </w: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.5.2 </w:t>
      </w:r>
      <w:r w:rsidRPr="00737794">
        <w:rPr>
          <w:rFonts w:ascii="Times New Roman" w:hAnsi="Times New Roman" w:cs="Times New Roman"/>
          <w:kern w:val="0"/>
          <w:szCs w:val="21"/>
        </w:rPr>
        <w:t>第</w:t>
      </w:r>
      <w:r w:rsidRPr="00737794">
        <w:rPr>
          <w:rFonts w:ascii="Times New Roman" w:hAnsi="Times New Roman" w:cs="Times New Roman"/>
          <w:kern w:val="0"/>
          <w:szCs w:val="21"/>
        </w:rPr>
        <w:t>2d</w:t>
      </w:r>
      <w:r w:rsidRPr="00737794">
        <w:rPr>
          <w:rFonts w:ascii="Times New Roman" w:hAnsi="Times New Roman" w:cs="Times New Roman"/>
          <w:kern w:val="0"/>
          <w:szCs w:val="21"/>
        </w:rPr>
        <w:t>、第</w:t>
      </w:r>
      <w:r w:rsidRPr="00737794">
        <w:rPr>
          <w:rFonts w:ascii="Times New Roman" w:hAnsi="Times New Roman" w:cs="Times New Roman"/>
          <w:kern w:val="0"/>
          <w:szCs w:val="21"/>
        </w:rPr>
        <w:t>3d</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操作同第</w:t>
      </w:r>
      <w:r w:rsidRPr="00737794">
        <w:rPr>
          <w:rFonts w:ascii="Times New Roman" w:hAnsi="Times New Roman" w:cs="Times New Roman"/>
          <w:kern w:val="0"/>
          <w:szCs w:val="21"/>
        </w:rPr>
        <w:t>1d</w:t>
      </w:r>
      <w:r w:rsidRPr="00737794">
        <w:rPr>
          <w:rFonts w:ascii="Times New Roman" w:hAnsi="Times New Roman" w:cs="Times New Roman"/>
          <w:kern w:val="0"/>
          <w:szCs w:val="21"/>
        </w:rPr>
        <w:t>，重复受试物或对照涂抹。</w:t>
      </w: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.5.3 </w:t>
      </w:r>
      <w:r w:rsidRPr="00737794">
        <w:rPr>
          <w:rFonts w:ascii="Times New Roman" w:hAnsi="Times New Roman" w:cs="Times New Roman"/>
          <w:kern w:val="0"/>
          <w:szCs w:val="21"/>
        </w:rPr>
        <w:t>第</w:t>
      </w:r>
      <w:r w:rsidRPr="00737794">
        <w:rPr>
          <w:rFonts w:ascii="Times New Roman" w:hAnsi="Times New Roman" w:cs="Times New Roman"/>
          <w:kern w:val="0"/>
          <w:szCs w:val="21"/>
        </w:rPr>
        <w:t>4d</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不做任何处理。</w:t>
      </w: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.5.4 </w:t>
      </w:r>
      <w:r w:rsidRPr="00737794">
        <w:rPr>
          <w:rFonts w:ascii="Times New Roman" w:hAnsi="Times New Roman" w:cs="Times New Roman"/>
          <w:kern w:val="0"/>
          <w:szCs w:val="21"/>
        </w:rPr>
        <w:t>第</w:t>
      </w:r>
      <w:r w:rsidRPr="00737794">
        <w:rPr>
          <w:rFonts w:ascii="Times New Roman" w:hAnsi="Times New Roman" w:cs="Times New Roman"/>
          <w:kern w:val="0"/>
          <w:szCs w:val="21"/>
        </w:rPr>
        <w:t>5d</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受试物组、阳性对照组和溶剂对照组每只小鼠腹腔注射</w:t>
      </w:r>
      <w:r w:rsidRPr="00737794">
        <w:rPr>
          <w:rFonts w:ascii="Times New Roman" w:hAnsi="Times New Roman" w:cs="Times New Roman"/>
          <w:kern w:val="0"/>
          <w:szCs w:val="21"/>
        </w:rPr>
        <w:t>0.1</w:t>
      </w:r>
      <w:bookmarkStart w:id="4" w:name="OLE_LINK2"/>
      <w:r w:rsidRPr="00737794">
        <w:rPr>
          <w:rFonts w:ascii="Times New Roman" w:hAnsi="Times New Roman" w:cs="Times New Roman" w:hint="eastAsia"/>
          <w:kern w:val="0"/>
          <w:szCs w:val="21"/>
        </w:rPr>
        <w:t>mL</w:t>
      </w:r>
      <w:r w:rsidRPr="00737794">
        <w:rPr>
          <w:rFonts w:ascii="Times New Roman" w:hAnsi="Times New Roman" w:cs="Times New Roman"/>
          <w:kern w:val="0"/>
          <w:szCs w:val="21"/>
        </w:rPr>
        <w:t xml:space="preserve"> </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标记液</w:t>
      </w:r>
      <w:bookmarkEnd w:id="4"/>
      <w:r w:rsidRPr="00737794">
        <w:rPr>
          <w:rFonts w:ascii="Times New Roman" w:hAnsi="Times New Roman" w:cs="Times New Roman"/>
          <w:kern w:val="0"/>
          <w:szCs w:val="21"/>
        </w:rPr>
        <w:t>（</w:t>
      </w:r>
      <w:r w:rsidRPr="00737794">
        <w:rPr>
          <w:rFonts w:ascii="Times New Roman" w:hAnsi="Times New Roman" w:cs="Times New Roman"/>
          <w:kern w:val="0"/>
          <w:szCs w:val="21"/>
        </w:rPr>
        <w:t>20mg/</w:t>
      </w:r>
      <w:r w:rsidRPr="00737794">
        <w:rPr>
          <w:rFonts w:ascii="Times New Roman" w:hAnsi="Times New Roman" w:cs="Times New Roman" w:hint="eastAsia"/>
          <w:kern w:val="0"/>
          <w:szCs w:val="21"/>
        </w:rPr>
        <w:t>mL</w:t>
      </w:r>
      <w:r w:rsidRPr="00737794">
        <w:rPr>
          <w:rFonts w:ascii="Times New Roman" w:hAnsi="Times New Roman" w:cs="Times New Roman"/>
          <w:kern w:val="0"/>
          <w:szCs w:val="21"/>
        </w:rPr>
        <w:t>，无菌生理盐水配制，现用现配或提前配好置于</w:t>
      </w:r>
      <w:r w:rsidRPr="00737794">
        <w:rPr>
          <w:rFonts w:ascii="Times New Roman" w:hAnsi="Times New Roman" w:cs="Times New Roman"/>
          <w:kern w:val="0"/>
          <w:szCs w:val="21"/>
        </w:rPr>
        <w:t>-20</w:t>
      </w:r>
      <w:r w:rsidRPr="00737794">
        <w:rPr>
          <w:rFonts w:ascii="宋体" w:eastAsia="宋体" w:hAnsi="宋体" w:cs="宋体" w:hint="eastAsia"/>
          <w:kern w:val="0"/>
          <w:szCs w:val="21"/>
        </w:rPr>
        <w:t>℃</w:t>
      </w:r>
      <w:r w:rsidRPr="00737794">
        <w:rPr>
          <w:rFonts w:ascii="Times New Roman" w:hAnsi="Times New Roman" w:cs="Times New Roman"/>
          <w:kern w:val="0"/>
          <w:szCs w:val="21"/>
        </w:rPr>
        <w:t>，避光保存）。</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空白对照小鼠不做任何处理，</w:t>
      </w:r>
      <w:bookmarkStart w:id="5" w:name="OLE_LINK3"/>
      <w:r w:rsidRPr="00737794">
        <w:rPr>
          <w:rFonts w:ascii="Times New Roman" w:hAnsi="Times New Roman" w:cs="Times New Roman" w:hint="eastAsia"/>
          <w:kern w:val="0"/>
          <w:szCs w:val="21"/>
        </w:rPr>
        <w:t>未处理</w:t>
      </w:r>
      <w:r w:rsidRPr="00737794">
        <w:rPr>
          <w:rFonts w:ascii="Times New Roman" w:hAnsi="Times New Roman" w:cs="Times New Roman"/>
          <w:kern w:val="0"/>
          <w:szCs w:val="21"/>
        </w:rPr>
        <w:t>对照小鼠腹腔注射</w:t>
      </w:r>
      <w:r w:rsidRPr="00737794">
        <w:rPr>
          <w:rFonts w:ascii="Times New Roman" w:hAnsi="Times New Roman" w:cs="Times New Roman"/>
          <w:kern w:val="0"/>
          <w:szCs w:val="21"/>
        </w:rPr>
        <w:t>0.1</w:t>
      </w:r>
      <w:r w:rsidRPr="00737794">
        <w:rPr>
          <w:rFonts w:ascii="Times New Roman" w:hAnsi="Times New Roman" w:cs="Times New Roman" w:hint="eastAsia"/>
          <w:kern w:val="0"/>
          <w:szCs w:val="21"/>
        </w:rPr>
        <w:t>mL</w:t>
      </w:r>
      <w:r w:rsidRPr="00737794">
        <w:rPr>
          <w:rFonts w:ascii="Times New Roman" w:hAnsi="Times New Roman" w:cs="Times New Roman"/>
          <w:kern w:val="0"/>
          <w:szCs w:val="21"/>
        </w:rPr>
        <w:t xml:space="preserve"> </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标记液（</w:t>
      </w:r>
      <w:r w:rsidRPr="00737794">
        <w:rPr>
          <w:rFonts w:ascii="Times New Roman" w:hAnsi="Times New Roman" w:cs="Times New Roman"/>
          <w:kern w:val="0"/>
          <w:szCs w:val="21"/>
        </w:rPr>
        <w:t>20mg/</w:t>
      </w:r>
      <w:r w:rsidRPr="00737794">
        <w:rPr>
          <w:rFonts w:ascii="Times New Roman" w:hAnsi="Times New Roman" w:cs="Times New Roman" w:hint="eastAsia"/>
          <w:kern w:val="0"/>
          <w:szCs w:val="21"/>
        </w:rPr>
        <w:t>mL</w:t>
      </w:r>
      <w:r w:rsidRPr="00737794">
        <w:rPr>
          <w:rFonts w:ascii="Times New Roman" w:hAnsi="Times New Roman" w:cs="Times New Roman"/>
          <w:kern w:val="0"/>
          <w:szCs w:val="21"/>
        </w:rPr>
        <w:t>)</w:t>
      </w:r>
      <w:r w:rsidRPr="00737794">
        <w:rPr>
          <w:rFonts w:ascii="Times New Roman" w:hAnsi="Times New Roman" w:cs="Times New Roman"/>
          <w:kern w:val="0"/>
          <w:szCs w:val="21"/>
        </w:rPr>
        <w:t>，操作步骤同受试物组。</w:t>
      </w:r>
      <w:bookmarkEnd w:id="5"/>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.5.5 </w:t>
      </w:r>
      <w:r w:rsidRPr="00737794">
        <w:rPr>
          <w:rFonts w:ascii="Times New Roman" w:hAnsi="Times New Roman" w:cs="Times New Roman"/>
          <w:kern w:val="0"/>
          <w:szCs w:val="21"/>
        </w:rPr>
        <w:t>第</w:t>
      </w:r>
      <w:r w:rsidRPr="00737794">
        <w:rPr>
          <w:rFonts w:ascii="Times New Roman" w:hAnsi="Times New Roman" w:cs="Times New Roman"/>
          <w:kern w:val="0"/>
          <w:szCs w:val="21"/>
        </w:rPr>
        <w:t>6d</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腹腔注射</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标记液后</w:t>
      </w:r>
      <w:r w:rsidRPr="00737794">
        <w:rPr>
          <w:rFonts w:ascii="Times New Roman" w:hAnsi="Times New Roman" w:cs="Times New Roman"/>
          <w:kern w:val="0"/>
          <w:szCs w:val="21"/>
        </w:rPr>
        <w:t>24h</w:t>
      </w:r>
      <w:r w:rsidRPr="00737794">
        <w:rPr>
          <w:rFonts w:ascii="Times New Roman" w:hAnsi="Times New Roman" w:cs="Times New Roman"/>
          <w:kern w:val="0"/>
          <w:szCs w:val="21"/>
        </w:rPr>
        <w:t>，记录小鼠体重和出现的任何临床症状，人道处死动物摘取双侧</w:t>
      </w:r>
      <w:r w:rsidRPr="00737794">
        <w:rPr>
          <w:rFonts w:ascii="Times New Roman" w:hAnsi="Times New Roman" w:cs="Times New Roman" w:hint="eastAsia"/>
          <w:kern w:val="0"/>
          <w:szCs w:val="21"/>
        </w:rPr>
        <w:t>耳部回流</w:t>
      </w:r>
      <w:r w:rsidRPr="00737794">
        <w:rPr>
          <w:rFonts w:ascii="Times New Roman" w:hAnsi="Times New Roman" w:cs="Times New Roman"/>
          <w:kern w:val="0"/>
          <w:szCs w:val="21"/>
        </w:rPr>
        <w:t>淋巴结，同时分离双侧耳廓</w:t>
      </w:r>
      <w:r w:rsidRPr="00737794">
        <w:rPr>
          <w:rFonts w:ascii="Times New Roman" w:hAnsi="Times New Roman" w:cs="Times New Roman" w:hint="eastAsia"/>
          <w:kern w:val="0"/>
          <w:szCs w:val="21"/>
        </w:rPr>
        <w:t>，用</w:t>
      </w:r>
      <w:r w:rsidRPr="00737794">
        <w:rPr>
          <w:rFonts w:ascii="Times New Roman" w:hAnsi="Times New Roman" w:cs="Times New Roman"/>
          <w:kern w:val="0"/>
          <w:szCs w:val="21"/>
        </w:rPr>
        <w:t>打孔器取下耳片</w:t>
      </w:r>
      <w:r w:rsidRPr="00737794">
        <w:rPr>
          <w:rFonts w:ascii="Times New Roman" w:hAnsi="Times New Roman" w:cs="Times New Roman" w:hint="eastAsia"/>
          <w:kern w:val="0"/>
          <w:szCs w:val="21"/>
        </w:rPr>
        <w:t>，称重</w:t>
      </w:r>
      <w:r w:rsidRPr="00737794">
        <w:rPr>
          <w:rFonts w:ascii="Times New Roman" w:hAnsi="Times New Roman" w:cs="Times New Roman"/>
          <w:kern w:val="0"/>
          <w:szCs w:val="21"/>
        </w:rPr>
        <w:t>。</w:t>
      </w:r>
      <w:r w:rsidRPr="00737794">
        <w:rPr>
          <w:rFonts w:ascii="Times New Roman" w:hAnsi="Times New Roman" w:cs="Times New Roman" w:hint="eastAsia"/>
          <w:kern w:val="0"/>
          <w:szCs w:val="21"/>
        </w:rPr>
        <w:t>耳部回流淋巴结</w:t>
      </w:r>
      <w:r w:rsidRPr="00737794">
        <w:rPr>
          <w:rFonts w:ascii="Times New Roman" w:hAnsi="Times New Roman" w:cs="Times New Roman"/>
          <w:kern w:val="0"/>
          <w:szCs w:val="21"/>
        </w:rPr>
        <w:t>位于咬肌远端，靠近</w:t>
      </w:r>
      <w:proofErr w:type="gramStart"/>
      <w:r w:rsidRPr="00737794">
        <w:rPr>
          <w:rFonts w:ascii="Times New Roman" w:hAnsi="Times New Roman" w:cs="Times New Roman"/>
          <w:kern w:val="0"/>
          <w:szCs w:val="21"/>
        </w:rPr>
        <w:t>颈</w:t>
      </w:r>
      <w:proofErr w:type="gramEnd"/>
      <w:r w:rsidRPr="00737794">
        <w:rPr>
          <w:rFonts w:ascii="Times New Roman" w:hAnsi="Times New Roman" w:cs="Times New Roman"/>
          <w:kern w:val="0"/>
          <w:szCs w:val="21"/>
        </w:rPr>
        <w:t>静脉分叉处，腺体</w:t>
      </w:r>
      <w:r w:rsidRPr="00737794">
        <w:rPr>
          <w:rFonts w:ascii="Times New Roman" w:hAnsi="Times New Roman" w:cs="Times New Roman" w:hint="eastAsia"/>
          <w:kern w:val="0"/>
          <w:szCs w:val="21"/>
        </w:rPr>
        <w:t>组织旁</w:t>
      </w:r>
      <w:r w:rsidRPr="00737794">
        <w:rPr>
          <w:rFonts w:ascii="Times New Roman" w:hAnsi="Times New Roman" w:cs="Times New Roman"/>
          <w:kern w:val="0"/>
          <w:szCs w:val="21"/>
        </w:rPr>
        <w:t>的部位</w:t>
      </w:r>
      <w:r w:rsidRPr="00737794">
        <w:rPr>
          <w:rFonts w:ascii="Times New Roman" w:hAnsi="Times New Roman" w:cs="Times New Roman" w:hint="eastAsia"/>
          <w:kern w:val="0"/>
          <w:szCs w:val="21"/>
        </w:rPr>
        <w:t>（图</w:t>
      </w:r>
      <w:r w:rsidRPr="00737794">
        <w:rPr>
          <w:rFonts w:ascii="Times New Roman" w:hAnsi="Times New Roman" w:cs="Times New Roman" w:hint="eastAsia"/>
          <w:kern w:val="0"/>
          <w:szCs w:val="21"/>
        </w:rPr>
        <w:t>1</w:t>
      </w:r>
      <w:r w:rsidRPr="00737794">
        <w:rPr>
          <w:rFonts w:ascii="Times New Roman" w:hAnsi="Times New Roman" w:cs="Times New Roman" w:hint="eastAsia"/>
          <w:kern w:val="0"/>
          <w:szCs w:val="21"/>
        </w:rPr>
        <w:t>，图</w:t>
      </w:r>
      <w:r w:rsidRPr="00737794">
        <w:rPr>
          <w:rFonts w:ascii="Times New Roman" w:hAnsi="Times New Roman" w:cs="Times New Roman" w:hint="eastAsia"/>
          <w:kern w:val="0"/>
          <w:szCs w:val="21"/>
        </w:rPr>
        <w:t>2</w:t>
      </w:r>
      <w:r w:rsidRPr="00737794">
        <w:rPr>
          <w:rFonts w:ascii="Times New Roman" w:hAnsi="Times New Roman" w:cs="Times New Roman" w:hint="eastAsia"/>
          <w:kern w:val="0"/>
          <w:szCs w:val="21"/>
        </w:rPr>
        <w:t>）。</w:t>
      </w:r>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highlight w:val="yellow"/>
        </w:rPr>
      </w:pPr>
    </w:p>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hint="eastAsia"/>
          <w:noProof/>
          <w:kern w:val="0"/>
          <w:szCs w:val="21"/>
        </w:rPr>
        <w:drawing>
          <wp:inline distT="0" distB="0" distL="114300" distR="114300" wp14:anchorId="4458A87E" wp14:editId="1844C5DD">
            <wp:extent cx="2949575" cy="2055495"/>
            <wp:effectExtent l="0" t="0" r="6985" b="1905"/>
            <wp:docPr id="3" name="图片 3" descr="彩色白底-侧卧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彩色白底-侧卧位"/>
                    <pic:cNvPicPr>
                      <a:picLocks noChangeAspect="1"/>
                    </pic:cNvPicPr>
                  </pic:nvPicPr>
                  <pic:blipFill>
                    <a:blip r:embed="rId9" cstate="print"/>
                    <a:stretch>
                      <a:fillRect/>
                    </a:stretch>
                  </pic:blipFill>
                  <pic:spPr>
                    <a:xfrm>
                      <a:off x="0" y="0"/>
                      <a:ext cx="2949575" cy="2055495"/>
                    </a:xfrm>
                    <a:prstGeom prst="rect">
                      <a:avLst/>
                    </a:prstGeom>
                  </pic:spPr>
                </pic:pic>
              </a:graphicData>
            </a:graphic>
          </wp:inline>
        </w:drawing>
      </w:r>
    </w:p>
    <w:p w:rsidR="00D9528B" w:rsidRPr="00737794" w:rsidRDefault="004E2EF6" w:rsidP="00737794">
      <w:pPr>
        <w:spacing w:beforeLines="50" w:before="156" w:afterLines="50" w:after="156" w:line="300" w:lineRule="auto"/>
        <w:jc w:val="center"/>
        <w:rPr>
          <w:rFonts w:ascii="Times New Roman" w:eastAsia="黑体" w:hAnsi="Times New Roman" w:cs="Times New Roman"/>
          <w:bCs/>
          <w:kern w:val="0"/>
          <w:szCs w:val="21"/>
        </w:rPr>
      </w:pPr>
      <w:r w:rsidRPr="00737794">
        <w:rPr>
          <w:rFonts w:ascii="Times New Roman" w:eastAsia="黑体" w:hAnsi="Times New Roman" w:cs="Times New Roman" w:hint="eastAsia"/>
          <w:bCs/>
          <w:kern w:val="0"/>
          <w:szCs w:val="21"/>
        </w:rPr>
        <w:t>图</w:t>
      </w:r>
      <w:r w:rsidRPr="00737794">
        <w:rPr>
          <w:rFonts w:ascii="Times New Roman" w:eastAsia="黑体" w:hAnsi="Times New Roman" w:cs="Times New Roman" w:hint="eastAsia"/>
          <w:bCs/>
          <w:kern w:val="0"/>
          <w:szCs w:val="21"/>
        </w:rPr>
        <w:t xml:space="preserve">1  </w:t>
      </w:r>
      <w:r w:rsidRPr="00737794">
        <w:rPr>
          <w:rFonts w:ascii="Times New Roman" w:eastAsia="黑体" w:hAnsi="Times New Roman" w:cs="Times New Roman" w:hint="eastAsia"/>
          <w:bCs/>
          <w:kern w:val="0"/>
          <w:szCs w:val="21"/>
        </w:rPr>
        <w:t>小鼠耳部回流淋巴结解剖位置（侧卧位）</w:t>
      </w:r>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hint="eastAsia"/>
          <w:noProof/>
          <w:kern w:val="0"/>
          <w:szCs w:val="21"/>
        </w:rPr>
        <w:drawing>
          <wp:inline distT="0" distB="0" distL="114300" distR="114300" wp14:anchorId="21676BD4" wp14:editId="17A074DE">
            <wp:extent cx="3081655" cy="2205355"/>
            <wp:effectExtent l="0" t="0" r="12065" b="4445"/>
            <wp:docPr id="4" name="图片 4" descr="彩色白底-仰卧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彩色白底-仰卧位"/>
                    <pic:cNvPicPr>
                      <a:picLocks noChangeAspect="1"/>
                    </pic:cNvPicPr>
                  </pic:nvPicPr>
                  <pic:blipFill>
                    <a:blip r:embed="rId10" cstate="print"/>
                    <a:stretch>
                      <a:fillRect/>
                    </a:stretch>
                  </pic:blipFill>
                  <pic:spPr>
                    <a:xfrm>
                      <a:off x="0" y="0"/>
                      <a:ext cx="3081655" cy="2205355"/>
                    </a:xfrm>
                    <a:prstGeom prst="rect">
                      <a:avLst/>
                    </a:prstGeom>
                  </pic:spPr>
                </pic:pic>
              </a:graphicData>
            </a:graphic>
          </wp:inline>
        </w:drawing>
      </w:r>
    </w:p>
    <w:p w:rsidR="00D9528B" w:rsidRPr="00737794" w:rsidRDefault="004E2EF6" w:rsidP="00737794">
      <w:pPr>
        <w:spacing w:beforeLines="50" w:before="156" w:afterLines="50" w:after="156" w:line="300" w:lineRule="auto"/>
        <w:jc w:val="center"/>
        <w:rPr>
          <w:rFonts w:ascii="Times New Roman" w:eastAsia="黑体" w:hAnsi="Times New Roman" w:cs="Times New Roman"/>
          <w:bCs/>
          <w:kern w:val="0"/>
          <w:szCs w:val="21"/>
        </w:rPr>
      </w:pPr>
      <w:r w:rsidRPr="00737794">
        <w:rPr>
          <w:rFonts w:ascii="Times New Roman" w:eastAsia="黑体" w:hAnsi="Times New Roman" w:cs="Times New Roman" w:hint="eastAsia"/>
          <w:bCs/>
          <w:kern w:val="0"/>
          <w:szCs w:val="21"/>
        </w:rPr>
        <w:t>图</w:t>
      </w:r>
      <w:r w:rsidRPr="00737794">
        <w:rPr>
          <w:rFonts w:ascii="Times New Roman" w:eastAsia="黑体" w:hAnsi="Times New Roman" w:cs="Times New Roman" w:hint="eastAsia"/>
          <w:bCs/>
          <w:kern w:val="0"/>
          <w:szCs w:val="21"/>
        </w:rPr>
        <w:t xml:space="preserve">2  </w:t>
      </w:r>
      <w:r w:rsidRPr="00737794">
        <w:rPr>
          <w:rFonts w:ascii="Times New Roman" w:eastAsia="黑体" w:hAnsi="Times New Roman" w:cs="Times New Roman" w:hint="eastAsia"/>
          <w:bCs/>
          <w:kern w:val="0"/>
          <w:szCs w:val="21"/>
        </w:rPr>
        <w:t>小鼠耳部回流淋巴结解剖位置（仰卧位）</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bookmarkStart w:id="6" w:name="_Hlk516562234"/>
      <w:r w:rsidRPr="00737794">
        <w:rPr>
          <w:rFonts w:ascii="Times New Roman" w:hAnsi="Times New Roman" w:cs="Times New Roman"/>
          <w:kern w:val="0"/>
          <w:szCs w:val="21"/>
        </w:rPr>
        <w:t>试验期间每天观察小鼠临床症状及耳朵局部刺激症状并按表</w:t>
      </w:r>
      <w:r w:rsidRPr="00737794">
        <w:rPr>
          <w:rFonts w:ascii="Times New Roman" w:hAnsi="Times New Roman" w:cs="Times New Roman"/>
          <w:kern w:val="0"/>
          <w:szCs w:val="21"/>
        </w:rPr>
        <w:t>1</w:t>
      </w:r>
      <w:r w:rsidRPr="00737794">
        <w:rPr>
          <w:rFonts w:ascii="Times New Roman" w:hAnsi="Times New Roman" w:cs="Times New Roman"/>
          <w:kern w:val="0"/>
          <w:szCs w:val="21"/>
        </w:rPr>
        <w:t>进行评分，任何时候局部刺激红斑评分</w:t>
      </w:r>
      <w:r w:rsidRPr="00737794">
        <w:rPr>
          <w:rFonts w:ascii="Times New Roman" w:hAnsi="Times New Roman" w:cs="Times New Roman"/>
          <w:kern w:val="0"/>
          <w:szCs w:val="21"/>
        </w:rPr>
        <w:t>≥3</w:t>
      </w:r>
      <w:r w:rsidRPr="00737794">
        <w:rPr>
          <w:rFonts w:ascii="Times New Roman" w:hAnsi="Times New Roman" w:cs="Times New Roman"/>
          <w:kern w:val="0"/>
          <w:szCs w:val="21"/>
        </w:rPr>
        <w:t>和（或）耳廓厚度（耳廓增重）</w:t>
      </w:r>
      <w:r w:rsidRPr="00737794">
        <w:rPr>
          <w:rFonts w:ascii="Times New Roman" w:hAnsi="Times New Roman" w:cs="Times New Roman"/>
          <w:kern w:val="0"/>
          <w:szCs w:val="21"/>
        </w:rPr>
        <w:t>≥25%</w:t>
      </w:r>
      <w:r w:rsidRPr="00737794">
        <w:rPr>
          <w:rFonts w:ascii="Times New Roman" w:hAnsi="Times New Roman" w:cs="Times New Roman"/>
          <w:kern w:val="0"/>
          <w:szCs w:val="21"/>
        </w:rPr>
        <w:t>，判断受试物为中度皮肤刺激性。在整个实验过程中，不应出现中度皮肤刺激性反应。</w:t>
      </w:r>
    </w:p>
    <w:bookmarkEnd w:id="6"/>
    <w:p w:rsidR="00D9528B" w:rsidRPr="00737794" w:rsidRDefault="004E2EF6" w:rsidP="00737794">
      <w:pPr>
        <w:autoSpaceDE w:val="0"/>
        <w:autoSpaceDN w:val="0"/>
        <w:spacing w:beforeLines="50" w:before="156" w:afterLines="50" w:after="156" w:line="300" w:lineRule="auto"/>
        <w:jc w:val="center"/>
        <w:rPr>
          <w:rFonts w:ascii="Times New Roman" w:eastAsia="黑体" w:hAnsi="Times New Roman" w:cs="Times New Roman"/>
          <w:kern w:val="0"/>
          <w:szCs w:val="21"/>
        </w:rPr>
      </w:pPr>
      <w:r w:rsidRPr="00737794">
        <w:rPr>
          <w:rFonts w:ascii="Times New Roman" w:eastAsia="黑体" w:hAnsi="Times New Roman" w:cs="Times New Roman"/>
          <w:kern w:val="0"/>
          <w:szCs w:val="21"/>
        </w:rPr>
        <w:t>表</w:t>
      </w:r>
      <w:r w:rsidRPr="00737794">
        <w:rPr>
          <w:rFonts w:ascii="Times New Roman" w:eastAsia="黑体" w:hAnsi="Times New Roman" w:cs="Times New Roman"/>
          <w:kern w:val="0"/>
          <w:szCs w:val="21"/>
        </w:rPr>
        <w:t xml:space="preserve">1  </w:t>
      </w:r>
      <w:r w:rsidRPr="00737794">
        <w:rPr>
          <w:rFonts w:ascii="Times New Roman" w:eastAsia="黑体" w:hAnsi="Times New Roman" w:cs="Times New Roman"/>
          <w:kern w:val="0"/>
          <w:szCs w:val="21"/>
        </w:rPr>
        <w:t>红斑评分</w:t>
      </w:r>
    </w:p>
    <w:tbl>
      <w:tblPr>
        <w:tblW w:w="5579" w:type="dxa"/>
        <w:jc w:val="center"/>
        <w:tblBorders>
          <w:top w:val="single" w:sz="4" w:space="0" w:color="auto"/>
          <w:bottom w:val="single" w:sz="4" w:space="0" w:color="auto"/>
        </w:tblBorders>
        <w:tblLayout w:type="fixed"/>
        <w:tblLook w:val="04A0" w:firstRow="1" w:lastRow="0" w:firstColumn="1" w:lastColumn="0" w:noHBand="0" w:noVBand="1"/>
      </w:tblPr>
      <w:tblGrid>
        <w:gridCol w:w="4385"/>
        <w:gridCol w:w="1194"/>
      </w:tblGrid>
      <w:tr w:rsidR="00D9528B" w:rsidRPr="00737794">
        <w:trPr>
          <w:trHeight w:val="459"/>
          <w:jc w:val="center"/>
        </w:trPr>
        <w:tc>
          <w:tcPr>
            <w:tcW w:w="4385" w:type="dxa"/>
            <w:tcBorders>
              <w:bottom w:val="single" w:sz="4" w:space="0" w:color="auto"/>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症状</w:t>
            </w:r>
          </w:p>
        </w:tc>
        <w:tc>
          <w:tcPr>
            <w:tcW w:w="1194" w:type="dxa"/>
            <w:tcBorders>
              <w:bottom w:val="single" w:sz="4" w:space="0" w:color="auto"/>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分值</w:t>
            </w:r>
          </w:p>
        </w:tc>
      </w:tr>
      <w:tr w:rsidR="00D9528B" w:rsidRPr="00737794">
        <w:trPr>
          <w:trHeight w:val="459"/>
          <w:jc w:val="center"/>
        </w:trPr>
        <w:tc>
          <w:tcPr>
            <w:tcW w:w="4385" w:type="dxa"/>
            <w:tcBorders>
              <w:top w:val="single" w:sz="4" w:space="0" w:color="auto"/>
              <w:tl2br w:val="nil"/>
              <w:tr2bl w:val="nil"/>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无红斑</w:t>
            </w:r>
          </w:p>
        </w:tc>
        <w:tc>
          <w:tcPr>
            <w:tcW w:w="1194" w:type="dxa"/>
            <w:tcBorders>
              <w:top w:val="single" w:sz="4" w:space="0" w:color="auto"/>
              <w:tl2br w:val="nil"/>
              <w:tr2bl w:val="nil"/>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0</w:t>
            </w:r>
          </w:p>
        </w:tc>
      </w:tr>
      <w:tr w:rsidR="00D9528B" w:rsidRPr="00737794">
        <w:trPr>
          <w:trHeight w:val="459"/>
          <w:jc w:val="center"/>
        </w:trPr>
        <w:tc>
          <w:tcPr>
            <w:tcW w:w="4385" w:type="dxa"/>
            <w:tcBorders>
              <w:tl2br w:val="nil"/>
              <w:tr2bl w:val="nil"/>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轻微红斑（勉强可见）</w:t>
            </w:r>
          </w:p>
        </w:tc>
        <w:tc>
          <w:tcPr>
            <w:tcW w:w="1194" w:type="dxa"/>
            <w:tcBorders>
              <w:tl2br w:val="nil"/>
              <w:tr2bl w:val="nil"/>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1</w:t>
            </w:r>
          </w:p>
        </w:tc>
      </w:tr>
      <w:tr w:rsidR="00D9528B" w:rsidRPr="00737794">
        <w:trPr>
          <w:trHeight w:val="459"/>
          <w:jc w:val="center"/>
        </w:trPr>
        <w:tc>
          <w:tcPr>
            <w:tcW w:w="4385" w:type="dxa"/>
            <w:tcBorders>
              <w:tl2br w:val="nil"/>
              <w:tr2bl w:val="nil"/>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明显红斑</w:t>
            </w:r>
          </w:p>
        </w:tc>
        <w:tc>
          <w:tcPr>
            <w:tcW w:w="1194" w:type="dxa"/>
            <w:tcBorders>
              <w:tl2br w:val="nil"/>
              <w:tr2bl w:val="nil"/>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2</w:t>
            </w:r>
          </w:p>
        </w:tc>
      </w:tr>
      <w:tr w:rsidR="00D9528B" w:rsidRPr="00737794">
        <w:trPr>
          <w:trHeight w:val="459"/>
          <w:jc w:val="center"/>
        </w:trPr>
        <w:tc>
          <w:tcPr>
            <w:tcW w:w="4385" w:type="dxa"/>
            <w:tcBorders>
              <w:tl2br w:val="nil"/>
              <w:tr2bl w:val="nil"/>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中度</w:t>
            </w:r>
            <w:r w:rsidRPr="00737794">
              <w:rPr>
                <w:rFonts w:ascii="Times New Roman" w:hAnsi="Times New Roman" w:cs="Times New Roman"/>
                <w:kern w:val="0"/>
                <w:szCs w:val="21"/>
              </w:rPr>
              <w:t>-</w:t>
            </w:r>
            <w:r w:rsidRPr="00737794">
              <w:rPr>
                <w:rFonts w:ascii="Times New Roman" w:hAnsi="Times New Roman" w:cs="Times New Roman"/>
                <w:kern w:val="0"/>
                <w:szCs w:val="21"/>
              </w:rPr>
              <w:t>重度红斑</w:t>
            </w:r>
          </w:p>
        </w:tc>
        <w:tc>
          <w:tcPr>
            <w:tcW w:w="1194" w:type="dxa"/>
            <w:tcBorders>
              <w:tl2br w:val="nil"/>
              <w:tr2bl w:val="nil"/>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3</w:t>
            </w:r>
          </w:p>
        </w:tc>
      </w:tr>
      <w:tr w:rsidR="00D9528B" w:rsidRPr="00737794">
        <w:trPr>
          <w:trHeight w:val="468"/>
          <w:jc w:val="center"/>
        </w:trPr>
        <w:tc>
          <w:tcPr>
            <w:tcW w:w="4385" w:type="dxa"/>
            <w:tcBorders>
              <w:tl2br w:val="nil"/>
              <w:tr2bl w:val="nil"/>
            </w:tcBorders>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严重红斑（紫红色）至轻微焦痂形成</w:t>
            </w:r>
          </w:p>
        </w:tc>
        <w:tc>
          <w:tcPr>
            <w:tcW w:w="1194" w:type="dxa"/>
            <w:tcBorders>
              <w:tl2br w:val="nil"/>
              <w:tr2bl w:val="nil"/>
            </w:tcBorders>
          </w:tcPr>
          <w:p w:rsidR="00D9528B" w:rsidRPr="00737794" w:rsidRDefault="004E2EF6">
            <w:pPr>
              <w:autoSpaceDE w:val="0"/>
              <w:autoSpaceDN w:val="0"/>
              <w:spacing w:line="300" w:lineRule="auto"/>
              <w:jc w:val="center"/>
              <w:rPr>
                <w:rFonts w:ascii="Times New Roman" w:hAnsi="Times New Roman" w:cs="Times New Roman"/>
                <w:kern w:val="0"/>
                <w:szCs w:val="21"/>
              </w:rPr>
            </w:pPr>
            <w:r w:rsidRPr="00737794">
              <w:rPr>
                <w:rFonts w:ascii="Times New Roman" w:hAnsi="Times New Roman" w:cs="Times New Roman"/>
                <w:kern w:val="0"/>
                <w:szCs w:val="21"/>
              </w:rPr>
              <w:t>4</w:t>
            </w:r>
          </w:p>
        </w:tc>
      </w:tr>
    </w:tbl>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.5.6 </w:t>
      </w:r>
      <w:r w:rsidRPr="00737794">
        <w:rPr>
          <w:rFonts w:ascii="Times New Roman" w:hAnsi="Times New Roman" w:cs="Times New Roman"/>
          <w:kern w:val="0"/>
          <w:szCs w:val="21"/>
        </w:rPr>
        <w:t>淋巴细胞悬液制备</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将每只小鼠分离的淋巴结放在磷酸盐缓冲液（</w:t>
      </w:r>
      <w:r w:rsidRPr="00737794">
        <w:rPr>
          <w:rFonts w:ascii="Times New Roman" w:hAnsi="Times New Roman" w:cs="Times New Roman"/>
          <w:kern w:val="0"/>
          <w:szCs w:val="21"/>
        </w:rPr>
        <w:t>PBS</w:t>
      </w:r>
      <w:r w:rsidRPr="00737794">
        <w:rPr>
          <w:rFonts w:ascii="Times New Roman" w:hAnsi="Times New Roman" w:cs="Times New Roman"/>
          <w:kern w:val="0"/>
          <w:szCs w:val="21"/>
        </w:rPr>
        <w:t>）中研磨，用</w:t>
      </w:r>
      <w:r w:rsidRPr="00737794">
        <w:rPr>
          <w:rFonts w:ascii="Times New Roman" w:hAnsi="Times New Roman" w:cs="Times New Roman"/>
          <w:kern w:val="0"/>
          <w:szCs w:val="21"/>
        </w:rPr>
        <w:t>200</w:t>
      </w:r>
      <w:r w:rsidRPr="00737794">
        <w:rPr>
          <w:rFonts w:ascii="Times New Roman" w:hAnsi="Times New Roman" w:cs="Times New Roman"/>
          <w:kern w:val="0"/>
          <w:szCs w:val="21"/>
        </w:rPr>
        <w:t>目不锈钢筛网过滤（也可用一次性的</w:t>
      </w:r>
      <w:r w:rsidRPr="00737794">
        <w:rPr>
          <w:rFonts w:ascii="Times New Roman" w:hAnsi="Times New Roman" w:cs="Times New Roman"/>
          <w:kern w:val="0"/>
          <w:szCs w:val="21"/>
        </w:rPr>
        <w:t>70μM</w:t>
      </w:r>
      <w:r w:rsidRPr="00737794">
        <w:rPr>
          <w:rFonts w:ascii="Times New Roman" w:hAnsi="Times New Roman" w:cs="Times New Roman"/>
          <w:kern w:val="0"/>
          <w:szCs w:val="21"/>
        </w:rPr>
        <w:t>尼龙膜过滤），制成单细胞悬液。用</w:t>
      </w:r>
      <w:r w:rsidRPr="00737794">
        <w:rPr>
          <w:rFonts w:ascii="Times New Roman" w:hAnsi="Times New Roman" w:cs="Times New Roman"/>
          <w:kern w:val="0"/>
          <w:szCs w:val="21"/>
        </w:rPr>
        <w:t>PBS</w:t>
      </w:r>
      <w:r w:rsidRPr="00737794">
        <w:rPr>
          <w:rFonts w:ascii="Times New Roman" w:hAnsi="Times New Roman" w:cs="Times New Roman"/>
          <w:kern w:val="0"/>
          <w:szCs w:val="21"/>
        </w:rPr>
        <w:t>洗一次，</w:t>
      </w:r>
      <w:r w:rsidRPr="00737794">
        <w:rPr>
          <w:rFonts w:ascii="Times New Roman" w:hAnsi="Times New Roman" w:cs="Times New Roman"/>
          <w:kern w:val="0"/>
          <w:szCs w:val="21"/>
        </w:rPr>
        <w:t>300g</w:t>
      </w:r>
      <w:r w:rsidRPr="00737794">
        <w:rPr>
          <w:rFonts w:ascii="Times New Roman" w:hAnsi="Times New Roman" w:cs="Times New Roman"/>
          <w:kern w:val="0"/>
          <w:szCs w:val="21"/>
        </w:rPr>
        <w:t>离心</w:t>
      </w:r>
      <w:r w:rsidRPr="00737794">
        <w:rPr>
          <w:rFonts w:ascii="Times New Roman" w:hAnsi="Times New Roman" w:cs="Times New Roman"/>
          <w:kern w:val="0"/>
          <w:szCs w:val="21"/>
        </w:rPr>
        <w:t>5min</w:t>
      </w:r>
      <w:r w:rsidRPr="00737794">
        <w:rPr>
          <w:rFonts w:ascii="Times New Roman" w:hAnsi="Times New Roman" w:cs="Times New Roman"/>
          <w:kern w:val="0"/>
          <w:szCs w:val="21"/>
        </w:rPr>
        <w:t>后，细胞重悬于</w:t>
      </w:r>
      <w:r w:rsidRPr="00737794">
        <w:rPr>
          <w:rFonts w:ascii="Times New Roman" w:hAnsi="Times New Roman" w:cs="Times New Roman"/>
          <w:kern w:val="0"/>
          <w:szCs w:val="21"/>
        </w:rPr>
        <w:t>1</w:t>
      </w:r>
      <w:r w:rsidRPr="00737794">
        <w:rPr>
          <w:rFonts w:ascii="Times New Roman" w:hAnsi="Times New Roman" w:cs="Times New Roman" w:hint="eastAsia"/>
          <w:kern w:val="0"/>
          <w:szCs w:val="21"/>
        </w:rPr>
        <w:t>mL</w:t>
      </w:r>
      <w:r w:rsidRPr="00737794">
        <w:rPr>
          <w:rFonts w:ascii="Times New Roman" w:hAnsi="Times New Roman" w:cs="Times New Roman"/>
          <w:kern w:val="0"/>
          <w:szCs w:val="21"/>
        </w:rPr>
        <w:t xml:space="preserve"> PBS</w:t>
      </w:r>
      <w:r w:rsidRPr="00737794">
        <w:rPr>
          <w:rFonts w:ascii="Times New Roman" w:hAnsi="Times New Roman" w:cs="Times New Roman"/>
          <w:kern w:val="0"/>
          <w:szCs w:val="21"/>
        </w:rPr>
        <w:t>中，进行细胞计数，调整细胞浓度为</w:t>
      </w:r>
      <w:r w:rsidRPr="00737794">
        <w:rPr>
          <w:rFonts w:ascii="Times New Roman" w:hAnsi="Times New Roman" w:cs="Times New Roman"/>
          <w:kern w:val="0"/>
          <w:szCs w:val="21"/>
        </w:rPr>
        <w:t>1.5×10</w:t>
      </w:r>
      <w:r w:rsidRPr="00737794">
        <w:rPr>
          <w:rFonts w:ascii="Times New Roman" w:hAnsi="Times New Roman" w:cs="Times New Roman"/>
          <w:kern w:val="0"/>
          <w:szCs w:val="21"/>
          <w:vertAlign w:val="superscript"/>
        </w:rPr>
        <w:t>6</w:t>
      </w:r>
      <w:r w:rsidRPr="00737794">
        <w:rPr>
          <w:rFonts w:ascii="Times New Roman" w:hAnsi="Times New Roman" w:cs="Times New Roman"/>
          <w:kern w:val="0"/>
          <w:szCs w:val="21"/>
        </w:rPr>
        <w:t>/</w:t>
      </w:r>
      <w:r w:rsidRPr="00737794">
        <w:rPr>
          <w:rFonts w:ascii="Times New Roman" w:hAnsi="Times New Roman" w:cs="Times New Roman" w:hint="eastAsia"/>
          <w:kern w:val="0"/>
          <w:szCs w:val="21"/>
        </w:rPr>
        <w:t>mL</w:t>
      </w:r>
      <w:r w:rsidRPr="00737794">
        <w:rPr>
          <w:rFonts w:ascii="Times New Roman" w:hAnsi="Times New Roman" w:cs="Times New Roman"/>
          <w:kern w:val="0"/>
          <w:szCs w:val="21"/>
        </w:rPr>
        <w:t>。</w:t>
      </w:r>
    </w:p>
    <w:p w:rsidR="00D9528B" w:rsidRPr="00737794" w:rsidRDefault="004E2EF6" w:rsidP="006C286F">
      <w:pPr>
        <w:autoSpaceDE w:val="0"/>
        <w:autoSpaceDN w:val="0"/>
        <w:spacing w:line="300" w:lineRule="auto"/>
        <w:rPr>
          <w:rFonts w:ascii="Times New Roman" w:hAnsi="Times New Roman" w:cs="Times New Roman"/>
          <w:kern w:val="0"/>
          <w:szCs w:val="21"/>
        </w:rPr>
      </w:pPr>
      <w:r w:rsidRPr="00737794">
        <w:rPr>
          <w:rFonts w:ascii="Times New Roman" w:hAnsi="Times New Roman" w:cs="Times New Roman" w:hint="eastAsia"/>
          <w:kern w:val="0"/>
          <w:szCs w:val="21"/>
        </w:rPr>
        <w:t>7</w:t>
      </w:r>
      <w:r w:rsidRPr="00737794">
        <w:rPr>
          <w:rFonts w:ascii="Times New Roman" w:hAnsi="Times New Roman" w:cs="Times New Roman"/>
          <w:kern w:val="0"/>
          <w:szCs w:val="21"/>
        </w:rPr>
        <w:t xml:space="preserve">.5.7 </w:t>
      </w:r>
      <w:r w:rsidRPr="00737794">
        <w:rPr>
          <w:rFonts w:ascii="Times New Roman" w:hAnsi="Times New Roman" w:cs="Times New Roman"/>
          <w:kern w:val="0"/>
          <w:szCs w:val="21"/>
        </w:rPr>
        <w:t>细胞增殖测定（淋巴细胞</w:t>
      </w:r>
      <w:r w:rsidRPr="00737794">
        <w:rPr>
          <w:rFonts w:ascii="Times New Roman" w:hAnsi="Times New Roman" w:cs="Times New Roman"/>
          <w:kern w:val="0"/>
          <w:szCs w:val="21"/>
        </w:rPr>
        <w:t>DNA</w:t>
      </w:r>
      <w:r w:rsidRPr="00737794">
        <w:rPr>
          <w:rFonts w:ascii="Times New Roman" w:hAnsi="Times New Roman" w:cs="Times New Roman"/>
          <w:kern w:val="0"/>
          <w:szCs w:val="21"/>
        </w:rPr>
        <w:t>中</w:t>
      </w:r>
      <w:bookmarkStart w:id="7" w:name="OLE_LINK8"/>
      <w:proofErr w:type="spellStart"/>
      <w:r w:rsidRPr="00737794">
        <w:rPr>
          <w:rFonts w:ascii="Times New Roman" w:hAnsi="Times New Roman" w:cs="Times New Roman"/>
          <w:kern w:val="0"/>
          <w:szCs w:val="21"/>
        </w:rPr>
        <w:t>BrdU</w:t>
      </w:r>
      <w:bookmarkEnd w:id="7"/>
      <w:proofErr w:type="spellEnd"/>
      <w:r w:rsidRPr="00737794">
        <w:rPr>
          <w:rFonts w:ascii="Times New Roman" w:hAnsi="Times New Roman" w:cs="Times New Roman"/>
          <w:kern w:val="0"/>
          <w:szCs w:val="21"/>
        </w:rPr>
        <w:t>含量的测定）</w:t>
      </w:r>
    </w:p>
    <w:p w:rsidR="00664D48" w:rsidRPr="00737794" w:rsidRDefault="004E2EF6" w:rsidP="00737794">
      <w:pPr>
        <w:autoSpaceDE w:val="0"/>
        <w:autoSpaceDN w:val="0"/>
        <w:spacing w:line="300" w:lineRule="auto"/>
        <w:ind w:firstLineChars="200" w:firstLine="420"/>
        <w:rPr>
          <w:rFonts w:ascii="Times New Roman" w:hAnsi="Times New Roman"/>
        </w:rPr>
      </w:pPr>
      <w:r w:rsidRPr="00737794">
        <w:rPr>
          <w:rFonts w:ascii="Times New Roman" w:hAnsi="Times New Roman" w:cs="Times New Roman"/>
          <w:kern w:val="0"/>
          <w:szCs w:val="21"/>
        </w:rPr>
        <w:t>用</w:t>
      </w:r>
      <w:r w:rsidRPr="00737794">
        <w:rPr>
          <w:rFonts w:ascii="Times New Roman" w:hAnsi="Times New Roman" w:cs="Times New Roman"/>
          <w:kern w:val="0"/>
          <w:szCs w:val="21"/>
        </w:rPr>
        <w:t>FCM</w:t>
      </w:r>
      <w:r w:rsidRPr="00737794">
        <w:rPr>
          <w:rFonts w:ascii="Times New Roman" w:hAnsi="Times New Roman" w:cs="Times New Roman"/>
          <w:kern w:val="0"/>
          <w:szCs w:val="21"/>
        </w:rPr>
        <w:t>试剂盒测定</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含量。</w:t>
      </w:r>
      <w:r w:rsidR="00CD117F" w:rsidRPr="00737794">
        <w:rPr>
          <w:rFonts w:ascii="Times New Roman" w:hAnsi="Times New Roman"/>
        </w:rPr>
        <w:t>将淋巴细胞悬液（</w:t>
      </w:r>
      <w:r w:rsidR="00CD117F" w:rsidRPr="00737794">
        <w:rPr>
          <w:rFonts w:ascii="Times New Roman" w:hAnsi="Times New Roman" w:cs="Times New Roman"/>
          <w:kern w:val="0"/>
          <w:szCs w:val="21"/>
        </w:rPr>
        <w:t>1.5×10</w:t>
      </w:r>
      <w:r w:rsidR="00CD117F" w:rsidRPr="00737794">
        <w:rPr>
          <w:rFonts w:ascii="Times New Roman" w:hAnsi="Times New Roman" w:cs="Times New Roman"/>
          <w:kern w:val="0"/>
          <w:szCs w:val="21"/>
          <w:vertAlign w:val="superscript"/>
        </w:rPr>
        <w:t>6</w:t>
      </w:r>
      <w:r w:rsidR="00CD117F" w:rsidRPr="00737794">
        <w:rPr>
          <w:rFonts w:ascii="Times New Roman" w:hAnsi="Times New Roman" w:cs="Times New Roman" w:hint="eastAsia"/>
          <w:kern w:val="0"/>
          <w:szCs w:val="21"/>
        </w:rPr>
        <w:t>个</w:t>
      </w:r>
      <w:r w:rsidR="00CD117F" w:rsidRPr="00737794">
        <w:rPr>
          <w:rFonts w:ascii="Times New Roman" w:hAnsi="Times New Roman"/>
        </w:rPr>
        <w:t>）</w:t>
      </w:r>
      <w:r w:rsidR="00C7381D" w:rsidRPr="00737794">
        <w:rPr>
          <w:rFonts w:ascii="Times New Roman" w:hAnsi="Times New Roman" w:hint="eastAsia"/>
        </w:rPr>
        <w:t>离心</w:t>
      </w:r>
      <w:r w:rsidR="00CD117F" w:rsidRPr="00737794">
        <w:rPr>
          <w:rFonts w:ascii="Times New Roman" w:hAnsi="Times New Roman"/>
        </w:rPr>
        <w:t>后，</w:t>
      </w:r>
      <w:r w:rsidR="00CD117F" w:rsidRPr="00737794">
        <w:rPr>
          <w:rFonts w:ascii="Times New Roman" w:hAnsi="Times New Roman" w:hint="eastAsia"/>
        </w:rPr>
        <w:t>弃上清，</w:t>
      </w:r>
      <w:r w:rsidR="00CD117F" w:rsidRPr="00737794">
        <w:rPr>
          <w:rFonts w:ascii="Times New Roman" w:hAnsi="Times New Roman"/>
        </w:rPr>
        <w:t>用试剂</w:t>
      </w:r>
      <w:proofErr w:type="gramStart"/>
      <w:r w:rsidR="00CD117F" w:rsidRPr="00737794">
        <w:rPr>
          <w:rFonts w:ascii="Times New Roman" w:hAnsi="Times New Roman"/>
        </w:rPr>
        <w:t>盒提供的</w:t>
      </w:r>
      <w:r w:rsidR="00CD117F" w:rsidRPr="00737794">
        <w:rPr>
          <w:rFonts w:ascii="Times New Roman" w:hAnsi="Times New Roman" w:hint="eastAsia"/>
        </w:rPr>
        <w:t>固定破</w:t>
      </w:r>
      <w:proofErr w:type="gramEnd"/>
      <w:r w:rsidR="00CD117F" w:rsidRPr="00737794">
        <w:rPr>
          <w:rFonts w:ascii="Times New Roman" w:hAnsi="Times New Roman" w:hint="eastAsia"/>
        </w:rPr>
        <w:t>膜</w:t>
      </w:r>
      <w:r w:rsidR="00CD117F" w:rsidRPr="00737794">
        <w:rPr>
          <w:rFonts w:ascii="Times New Roman" w:hAnsi="Times New Roman"/>
        </w:rPr>
        <w:t>缓冲液使细胞通透，然后用</w:t>
      </w:r>
      <w:r w:rsidR="00CD117F" w:rsidRPr="00737794">
        <w:rPr>
          <w:rFonts w:ascii="Times New Roman" w:hAnsi="Times New Roman"/>
        </w:rPr>
        <w:t xml:space="preserve"> DNA </w:t>
      </w:r>
      <w:r w:rsidR="00CD117F" w:rsidRPr="00737794">
        <w:rPr>
          <w:rFonts w:ascii="Times New Roman" w:hAnsi="Times New Roman"/>
        </w:rPr>
        <w:t>酶处理。洗涤后，加入</w:t>
      </w:r>
      <w:r w:rsidR="00CD117F" w:rsidRPr="00737794">
        <w:rPr>
          <w:rFonts w:ascii="Times New Roman" w:hAnsi="Times New Roman"/>
        </w:rPr>
        <w:t xml:space="preserve"> FITC </w:t>
      </w:r>
      <w:r w:rsidR="00CD117F" w:rsidRPr="00737794">
        <w:rPr>
          <w:rFonts w:ascii="Times New Roman" w:hAnsi="Times New Roman"/>
        </w:rPr>
        <w:t>标记的抗</w:t>
      </w:r>
      <w:r w:rsidR="00CD117F" w:rsidRPr="00737794">
        <w:rPr>
          <w:rFonts w:ascii="Times New Roman" w:hAnsi="Times New Roman"/>
        </w:rPr>
        <w:t xml:space="preserve"> </w:t>
      </w:r>
      <w:proofErr w:type="spellStart"/>
      <w:r w:rsidR="00CD117F" w:rsidRPr="00737794">
        <w:rPr>
          <w:rFonts w:ascii="Times New Roman" w:hAnsi="Times New Roman"/>
        </w:rPr>
        <w:t>BrdU</w:t>
      </w:r>
      <w:proofErr w:type="spellEnd"/>
      <w:r w:rsidR="00CD117F" w:rsidRPr="00737794">
        <w:rPr>
          <w:rFonts w:ascii="Times New Roman" w:hAnsi="Times New Roman"/>
        </w:rPr>
        <w:t xml:space="preserve"> </w:t>
      </w:r>
      <w:r w:rsidR="00CD117F" w:rsidRPr="00737794">
        <w:rPr>
          <w:rFonts w:ascii="Times New Roman" w:hAnsi="Times New Roman"/>
        </w:rPr>
        <w:t>抗体</w:t>
      </w:r>
      <w:r w:rsidR="00CD117F" w:rsidRPr="00737794">
        <w:rPr>
          <w:rFonts w:ascii="Times New Roman" w:hAnsi="Times New Roman" w:hint="eastAsia"/>
        </w:rPr>
        <w:t>孵育</w:t>
      </w:r>
      <w:r w:rsidR="00CD117F" w:rsidRPr="00737794">
        <w:rPr>
          <w:rFonts w:ascii="Times New Roman" w:hAnsi="Times New Roman"/>
        </w:rPr>
        <w:t>，再次洗涤后加入</w:t>
      </w:r>
      <w:r w:rsidR="00CD117F" w:rsidRPr="00737794">
        <w:rPr>
          <w:rFonts w:ascii="Times New Roman" w:hAnsi="Times New Roman"/>
        </w:rPr>
        <w:t xml:space="preserve"> 7-</w:t>
      </w:r>
      <w:r w:rsidR="00CD117F" w:rsidRPr="00737794">
        <w:rPr>
          <w:rFonts w:ascii="Times New Roman" w:hAnsi="Times New Roman"/>
        </w:rPr>
        <w:t>氨基放线菌素</w:t>
      </w:r>
      <w:r w:rsidR="00CD117F" w:rsidRPr="00737794">
        <w:rPr>
          <w:rFonts w:ascii="Times New Roman" w:hAnsi="Times New Roman"/>
        </w:rPr>
        <w:t xml:space="preserve"> D</w:t>
      </w:r>
      <w:r w:rsidR="00CD117F" w:rsidRPr="00737794">
        <w:rPr>
          <w:rFonts w:ascii="Times New Roman" w:hAnsi="Times New Roman"/>
        </w:rPr>
        <w:t>（</w:t>
      </w:r>
      <w:r w:rsidR="00CD117F" w:rsidRPr="00737794">
        <w:rPr>
          <w:rFonts w:ascii="Times New Roman" w:hAnsi="Times New Roman"/>
        </w:rPr>
        <w:t>7-AAD</w:t>
      </w:r>
      <w:r w:rsidR="00CD117F" w:rsidRPr="00737794">
        <w:rPr>
          <w:rFonts w:ascii="Times New Roman" w:hAnsi="Times New Roman"/>
        </w:rPr>
        <w:t>）溶液</w:t>
      </w:r>
      <w:r w:rsidR="00CD117F" w:rsidRPr="00737794">
        <w:rPr>
          <w:rFonts w:ascii="Times New Roman" w:hAnsi="Times New Roman" w:hint="eastAsia"/>
        </w:rPr>
        <w:t>重悬细胞</w:t>
      </w:r>
      <w:r w:rsidR="00CD117F" w:rsidRPr="00737794">
        <w:rPr>
          <w:rFonts w:ascii="Times New Roman" w:hAnsi="Times New Roman"/>
        </w:rPr>
        <w:t>。用流式细胞仪计数活细胞群（</w:t>
      </w:r>
      <w:r w:rsidR="00CD117F" w:rsidRPr="00737794">
        <w:rPr>
          <w:rFonts w:ascii="Times New Roman" w:hAnsi="Times New Roman"/>
        </w:rPr>
        <w:t>10</w:t>
      </w:r>
      <w:r w:rsidR="00664D48" w:rsidRPr="00737794">
        <w:rPr>
          <w:rFonts w:ascii="Times New Roman" w:hAnsi="Times New Roman"/>
          <w:vertAlign w:val="superscript"/>
        </w:rPr>
        <w:t>4</w:t>
      </w:r>
      <w:r w:rsidR="00CD117F" w:rsidRPr="00737794">
        <w:rPr>
          <w:rFonts w:ascii="Times New Roman" w:hAnsi="Times New Roman"/>
        </w:rPr>
        <w:t>个细胞）中表达</w:t>
      </w:r>
      <w:r w:rsidR="00C7381D" w:rsidRPr="00737794">
        <w:rPr>
          <w:rFonts w:ascii="Times New Roman" w:hAnsi="Times New Roman" w:hint="eastAsia"/>
        </w:rPr>
        <w:t xml:space="preserve"> </w:t>
      </w:r>
      <w:r w:rsidR="00CD117F" w:rsidRPr="00737794">
        <w:rPr>
          <w:rFonts w:ascii="Times New Roman" w:hAnsi="Times New Roman"/>
        </w:rPr>
        <w:t xml:space="preserve">7-AAD </w:t>
      </w:r>
      <w:r w:rsidR="00CD117F" w:rsidRPr="00737794">
        <w:rPr>
          <w:rFonts w:ascii="Times New Roman" w:hAnsi="Times New Roman"/>
        </w:rPr>
        <w:t>的</w:t>
      </w:r>
      <w:r w:rsidR="00CD117F" w:rsidRPr="00737794">
        <w:rPr>
          <w:rFonts w:ascii="Times New Roman" w:hAnsi="Times New Roman"/>
        </w:rPr>
        <w:t xml:space="preserve"> </w:t>
      </w:r>
      <w:proofErr w:type="spellStart"/>
      <w:r w:rsidR="00CD117F" w:rsidRPr="00737794">
        <w:rPr>
          <w:rFonts w:ascii="Times New Roman" w:hAnsi="Times New Roman"/>
        </w:rPr>
        <w:t>BrdU</w:t>
      </w:r>
      <w:proofErr w:type="spellEnd"/>
      <w:r w:rsidR="00CD117F" w:rsidRPr="00737794">
        <w:rPr>
          <w:rFonts w:ascii="Times New Roman" w:hAnsi="Times New Roman"/>
        </w:rPr>
        <w:t xml:space="preserve"> </w:t>
      </w:r>
      <w:r w:rsidR="00CD117F" w:rsidRPr="00737794">
        <w:rPr>
          <w:rFonts w:ascii="Times New Roman" w:hAnsi="Times New Roman"/>
        </w:rPr>
        <w:t>阳性细胞的数量。</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流式细胞仪检测时，</w:t>
      </w:r>
      <w:bookmarkStart w:id="8" w:name="OLE_LINK6"/>
      <w:r w:rsidRPr="00737794">
        <w:rPr>
          <w:rFonts w:ascii="Times New Roman" w:hAnsi="Times New Roman" w:cs="Times New Roman"/>
          <w:kern w:val="0"/>
          <w:szCs w:val="21"/>
        </w:rPr>
        <w:t>空白对照样本</w:t>
      </w:r>
      <w:bookmarkEnd w:id="8"/>
      <w:r w:rsidRPr="00737794">
        <w:rPr>
          <w:rFonts w:ascii="Times New Roman" w:hAnsi="Times New Roman" w:cs="Times New Roman"/>
          <w:kern w:val="0"/>
          <w:szCs w:val="21"/>
        </w:rPr>
        <w:t>用于调节</w:t>
      </w:r>
      <w:r w:rsidRPr="00737794">
        <w:rPr>
          <w:rFonts w:ascii="Times New Roman" w:hAnsi="Times New Roman" w:cs="Times New Roman"/>
          <w:kern w:val="0"/>
          <w:szCs w:val="21"/>
        </w:rPr>
        <w:t>FS</w:t>
      </w:r>
      <w:r w:rsidRPr="00737794">
        <w:rPr>
          <w:rFonts w:ascii="Times New Roman" w:hAnsi="Times New Roman" w:cs="Times New Roman" w:hint="eastAsia"/>
          <w:kern w:val="0"/>
          <w:szCs w:val="21"/>
        </w:rPr>
        <w:t>C/</w:t>
      </w:r>
      <w:r w:rsidRPr="00737794">
        <w:rPr>
          <w:rFonts w:ascii="Times New Roman" w:hAnsi="Times New Roman" w:cs="Times New Roman"/>
          <w:kern w:val="0"/>
          <w:szCs w:val="21"/>
        </w:rPr>
        <w:t>SS</w:t>
      </w:r>
      <w:r w:rsidRPr="00737794">
        <w:rPr>
          <w:rFonts w:ascii="Times New Roman" w:hAnsi="Times New Roman" w:cs="Times New Roman" w:hint="eastAsia"/>
          <w:kern w:val="0"/>
          <w:szCs w:val="21"/>
        </w:rPr>
        <w:t>C</w:t>
      </w:r>
      <w:r w:rsidRPr="00737794">
        <w:rPr>
          <w:rFonts w:ascii="Times New Roman" w:hAnsi="Times New Roman" w:cs="Times New Roman" w:hint="eastAsia"/>
          <w:kern w:val="0"/>
          <w:szCs w:val="21"/>
        </w:rPr>
        <w:t>和</w:t>
      </w:r>
      <w:r w:rsidRPr="00737794">
        <w:rPr>
          <w:rFonts w:ascii="Times New Roman" w:hAnsi="Times New Roman" w:cs="Times New Roman"/>
          <w:kern w:val="0"/>
          <w:szCs w:val="21"/>
        </w:rPr>
        <w:t>FL1</w:t>
      </w:r>
      <w:r w:rsidRPr="00737794">
        <w:rPr>
          <w:rFonts w:ascii="Times New Roman" w:hAnsi="Times New Roman" w:cs="Times New Roman" w:hint="eastAsia"/>
          <w:kern w:val="0"/>
          <w:szCs w:val="21"/>
        </w:rPr>
        <w:t>（</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hint="eastAsia"/>
          <w:kern w:val="0"/>
          <w:szCs w:val="21"/>
        </w:rPr>
        <w:t>）</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FL3</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7-AAD</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的</w:t>
      </w:r>
      <w:r w:rsidRPr="00737794">
        <w:rPr>
          <w:rFonts w:ascii="Times New Roman" w:hAnsi="Times New Roman" w:cs="Times New Roman"/>
          <w:kern w:val="0"/>
          <w:szCs w:val="21"/>
        </w:rPr>
        <w:lastRenderedPageBreak/>
        <w:t>电压和增益，使</w:t>
      </w:r>
      <w:r w:rsidRPr="00737794">
        <w:rPr>
          <w:rFonts w:ascii="Times New Roman" w:hAnsi="Times New Roman" w:cs="Times New Roman"/>
          <w:kern w:val="0"/>
          <w:szCs w:val="21"/>
        </w:rPr>
        <w:t>SS</w:t>
      </w:r>
      <w:r w:rsidRPr="00737794">
        <w:rPr>
          <w:rFonts w:ascii="Times New Roman" w:hAnsi="Times New Roman" w:cs="Times New Roman" w:hint="eastAsia"/>
          <w:kern w:val="0"/>
          <w:szCs w:val="21"/>
        </w:rPr>
        <w:t>C</w:t>
      </w:r>
      <w:r w:rsidRPr="00737794">
        <w:rPr>
          <w:rFonts w:ascii="Times New Roman" w:hAnsi="Times New Roman" w:cs="Times New Roman"/>
          <w:kern w:val="0"/>
          <w:szCs w:val="21"/>
        </w:rPr>
        <w:t>/FS</w:t>
      </w:r>
      <w:r w:rsidRPr="00737794">
        <w:rPr>
          <w:rFonts w:ascii="Times New Roman" w:hAnsi="Times New Roman" w:cs="Times New Roman" w:hint="eastAsia"/>
          <w:kern w:val="0"/>
          <w:szCs w:val="21"/>
        </w:rPr>
        <w:t>C</w:t>
      </w:r>
      <w:r w:rsidRPr="00737794">
        <w:rPr>
          <w:rFonts w:ascii="Times New Roman" w:hAnsi="Times New Roman" w:cs="Times New Roman"/>
          <w:kern w:val="0"/>
          <w:szCs w:val="21"/>
        </w:rPr>
        <w:t>散点图分群清晰</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分布良好，使</w:t>
      </w:r>
      <w:bookmarkStart w:id="9" w:name="OLE_LINK7"/>
      <w:r w:rsidRPr="00737794">
        <w:rPr>
          <w:rFonts w:ascii="Times New Roman" w:hAnsi="Times New Roman" w:cs="Times New Roman"/>
          <w:kern w:val="0"/>
          <w:szCs w:val="21"/>
        </w:rPr>
        <w:t>FL1</w:t>
      </w:r>
      <w:r w:rsidRPr="00737794">
        <w:rPr>
          <w:rFonts w:ascii="Times New Roman" w:hAnsi="Times New Roman" w:cs="Times New Roman"/>
          <w:kern w:val="0"/>
          <w:szCs w:val="21"/>
        </w:rPr>
        <w:t>和</w:t>
      </w:r>
      <w:r w:rsidRPr="00737794">
        <w:rPr>
          <w:rFonts w:ascii="Times New Roman" w:hAnsi="Times New Roman" w:cs="Times New Roman"/>
          <w:kern w:val="0"/>
          <w:szCs w:val="21"/>
        </w:rPr>
        <w:t>FL3</w:t>
      </w:r>
      <w:bookmarkEnd w:id="9"/>
      <w:r w:rsidRPr="00737794">
        <w:rPr>
          <w:rFonts w:ascii="Times New Roman" w:hAnsi="Times New Roman" w:cs="Times New Roman" w:hint="eastAsia"/>
          <w:kern w:val="0"/>
          <w:szCs w:val="21"/>
        </w:rPr>
        <w:t>散</w:t>
      </w:r>
      <w:r w:rsidRPr="00737794">
        <w:rPr>
          <w:rFonts w:ascii="Times New Roman" w:hAnsi="Times New Roman" w:cs="Times New Roman"/>
          <w:kern w:val="0"/>
          <w:szCs w:val="21"/>
        </w:rPr>
        <w:t>点图中的细胞群体位于左下象限</w:t>
      </w:r>
      <w:r w:rsidRPr="00737794">
        <w:rPr>
          <w:rFonts w:ascii="Times New Roman" w:hAnsi="Times New Roman" w:cs="Times New Roman" w:hint="eastAsia"/>
          <w:kern w:val="0"/>
          <w:szCs w:val="21"/>
        </w:rPr>
        <w:t>。</w:t>
      </w:r>
      <w:r w:rsidRPr="00737794">
        <w:rPr>
          <w:rFonts w:ascii="Times New Roman" w:hAnsi="Times New Roman" w:cs="Times New Roman"/>
          <w:kern w:val="0"/>
          <w:szCs w:val="21"/>
        </w:rPr>
        <w:t>空白对照样本</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阳性细胞百分比（右上</w:t>
      </w:r>
      <w:r w:rsidRPr="00737794">
        <w:rPr>
          <w:rFonts w:ascii="Times New Roman" w:hAnsi="Times New Roman" w:cs="Times New Roman" w:hint="eastAsia"/>
          <w:kern w:val="0"/>
          <w:szCs w:val="21"/>
        </w:rPr>
        <w:t>象限</w:t>
      </w:r>
      <w:r w:rsidRPr="00737794">
        <w:rPr>
          <w:rFonts w:ascii="Times New Roman" w:hAnsi="Times New Roman" w:cs="Times New Roman"/>
          <w:kern w:val="0"/>
          <w:szCs w:val="21"/>
        </w:rPr>
        <w:t>%</w:t>
      </w:r>
      <w:r w:rsidRPr="00737794">
        <w:rPr>
          <w:rFonts w:ascii="Times New Roman" w:hAnsi="Times New Roman" w:cs="Times New Roman"/>
          <w:kern w:val="0"/>
          <w:szCs w:val="21"/>
        </w:rPr>
        <w:t>）为</w:t>
      </w:r>
      <w:r w:rsidRPr="00737794">
        <w:rPr>
          <w:rFonts w:ascii="Times New Roman" w:hAnsi="Times New Roman" w:cs="Times New Roman"/>
          <w:kern w:val="0"/>
          <w:szCs w:val="21"/>
        </w:rPr>
        <w:t>0</w:t>
      </w:r>
      <w:r w:rsidRPr="00737794">
        <w:rPr>
          <w:rFonts w:ascii="Times New Roman" w:hAnsi="Times New Roman" w:cs="Times New Roman"/>
          <w:kern w:val="0"/>
          <w:szCs w:val="21"/>
        </w:rPr>
        <w:t>，注射</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标记液的未处理对照样本</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阳性细胞百分比约为</w:t>
      </w:r>
      <w:r w:rsidRPr="00737794">
        <w:rPr>
          <w:rFonts w:ascii="Times New Roman" w:hAnsi="Times New Roman" w:cs="Times New Roman"/>
          <w:kern w:val="0"/>
          <w:szCs w:val="21"/>
        </w:rPr>
        <w:t>1%</w:t>
      </w:r>
      <w:r w:rsidRPr="00737794">
        <w:rPr>
          <w:rFonts w:ascii="Times New Roman" w:hAnsi="Times New Roman" w:cs="Times New Roman"/>
          <w:kern w:val="0"/>
          <w:szCs w:val="21"/>
        </w:rPr>
        <w:t>。</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hint="eastAsia"/>
          <w:bCs/>
          <w:kern w:val="0"/>
          <w:szCs w:val="21"/>
        </w:rPr>
        <w:t>8</w:t>
      </w:r>
      <w:r w:rsidRPr="00737794">
        <w:rPr>
          <w:rFonts w:ascii="Times New Roman" w:eastAsia="黑体" w:hAnsi="Times New Roman" w:cs="Times New Roman"/>
          <w:bCs/>
          <w:kern w:val="0"/>
          <w:szCs w:val="21"/>
        </w:rPr>
        <w:t xml:space="preserve"> </w:t>
      </w:r>
      <w:r w:rsidRPr="00737794">
        <w:rPr>
          <w:rFonts w:ascii="Times New Roman" w:eastAsia="黑体" w:hAnsi="Times New Roman" w:cs="Times New Roman"/>
          <w:bCs/>
          <w:kern w:val="0"/>
          <w:szCs w:val="21"/>
        </w:rPr>
        <w:t>数据处理</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标记细胞数计算公式如下：</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标记细胞数</w:t>
      </w:r>
      <w:r w:rsidRPr="00737794">
        <w:rPr>
          <w:rFonts w:ascii="Times New Roman" w:hAnsi="Times New Roman" w:cs="Times New Roman"/>
          <w:kern w:val="0"/>
          <w:szCs w:val="21"/>
        </w:rPr>
        <w:t>=</w:t>
      </w:r>
      <w:proofErr w:type="spellStart"/>
      <w:r w:rsidRPr="00737794">
        <w:rPr>
          <w:rFonts w:ascii="Times New Roman" w:hAnsi="Times New Roman" w:cs="Times New Roman"/>
          <w:kern w:val="0"/>
          <w:szCs w:val="21"/>
        </w:rPr>
        <w:t>BrdU</w:t>
      </w:r>
      <w:proofErr w:type="spellEnd"/>
      <w:r w:rsidRPr="00737794">
        <w:rPr>
          <w:rFonts w:ascii="Times New Roman" w:hAnsi="Times New Roman" w:cs="Times New Roman"/>
          <w:kern w:val="0"/>
          <w:szCs w:val="21"/>
        </w:rPr>
        <w:t>阳性细胞百分比（</w:t>
      </w:r>
      <w:bookmarkStart w:id="10" w:name="OLE_LINK10"/>
      <w:r w:rsidRPr="00737794">
        <w:rPr>
          <w:rFonts w:ascii="Times New Roman" w:hAnsi="Times New Roman" w:cs="Times New Roman"/>
          <w:kern w:val="0"/>
          <w:szCs w:val="21"/>
        </w:rPr>
        <w:t>右上</w:t>
      </w:r>
      <w:r w:rsidRPr="00737794">
        <w:rPr>
          <w:rFonts w:ascii="Times New Roman" w:hAnsi="Times New Roman" w:cs="Times New Roman" w:hint="eastAsia"/>
          <w:kern w:val="0"/>
          <w:szCs w:val="21"/>
        </w:rPr>
        <w:t>象限</w:t>
      </w:r>
      <w:bookmarkEnd w:id="10"/>
      <w:r w:rsidRPr="00737794">
        <w:rPr>
          <w:rFonts w:ascii="Times New Roman" w:hAnsi="Times New Roman" w:cs="Times New Roman"/>
          <w:kern w:val="0"/>
          <w:szCs w:val="21"/>
        </w:rPr>
        <w:t>%</w:t>
      </w:r>
      <w:r w:rsidRPr="00737794">
        <w:rPr>
          <w:rFonts w:ascii="Times New Roman" w:hAnsi="Times New Roman" w:cs="Times New Roman"/>
          <w:kern w:val="0"/>
          <w:szCs w:val="21"/>
        </w:rPr>
        <w:t>）</w:t>
      </w:r>
      <w:r w:rsidR="0057662C" w:rsidRPr="00737794">
        <w:rPr>
          <w:rFonts w:ascii="Times New Roman" w:hAnsi="Times New Roman" w:cs="Times New Roman"/>
          <w:kern w:val="0"/>
          <w:szCs w:val="21"/>
        </w:rPr>
        <w:fldChar w:fldCharType="begin"/>
      </w:r>
      <w:r w:rsidRPr="00737794">
        <w:rPr>
          <w:rFonts w:ascii="Times New Roman" w:hAnsi="Times New Roman" w:cs="Times New Roman"/>
          <w:kern w:val="0"/>
          <w:szCs w:val="21"/>
        </w:rPr>
        <w:instrText xml:space="preserve"> QUOTE </w:instrText>
      </w:r>
      <w:r w:rsidR="00E5538F">
        <w:rPr>
          <w:rFonts w:ascii="Times New Roman" w:hAnsi="Times New Roman" w:cs="Times New Roman"/>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 equationxml="&lt;">
            <v:imagedata r:id="rId11" o:title="" chromakey="white"/>
          </v:shape>
        </w:pict>
      </w:r>
      <w:r w:rsidR="0057662C" w:rsidRPr="00737794">
        <w:rPr>
          <w:rFonts w:ascii="Times New Roman" w:hAnsi="Times New Roman" w:cs="Times New Roman"/>
          <w:kern w:val="0"/>
          <w:szCs w:val="21"/>
        </w:rPr>
        <w:fldChar w:fldCharType="separate"/>
      </w:r>
      <w:r w:rsidR="00E5538F">
        <w:rPr>
          <w:rFonts w:ascii="Times New Roman" w:hAnsi="Times New Roman" w:cs="Times New Roman"/>
          <w:kern w:val="0"/>
          <w:szCs w:val="21"/>
        </w:rPr>
        <w:pict>
          <v:shape id="_x0000_i1026" type="#_x0000_t75" style="width:12.5pt;height:12.5pt" equationxml="&lt;">
            <v:imagedata r:id="rId11" o:title="" chromakey="white"/>
          </v:shape>
        </w:pict>
      </w:r>
      <w:r w:rsidR="0057662C" w:rsidRPr="00737794">
        <w:rPr>
          <w:rFonts w:ascii="Times New Roman" w:hAnsi="Times New Roman" w:cs="Times New Roman"/>
          <w:kern w:val="0"/>
          <w:szCs w:val="21"/>
        </w:rPr>
        <w:fldChar w:fldCharType="end"/>
      </w:r>
      <w:r w:rsidRPr="00737794">
        <w:rPr>
          <w:rFonts w:ascii="Times New Roman" w:hAnsi="Times New Roman" w:cs="Times New Roman"/>
          <w:kern w:val="0"/>
          <w:szCs w:val="21"/>
        </w:rPr>
        <w:t>淋巴细胞数</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注：右上</w:t>
      </w:r>
      <w:r w:rsidRPr="00737794">
        <w:rPr>
          <w:rFonts w:ascii="Times New Roman" w:hAnsi="Times New Roman" w:cs="Times New Roman" w:hint="eastAsia"/>
          <w:kern w:val="0"/>
          <w:szCs w:val="21"/>
        </w:rPr>
        <w:t>象限</w:t>
      </w:r>
      <w:r w:rsidRPr="00737794">
        <w:rPr>
          <w:rFonts w:ascii="Times New Roman" w:hAnsi="Times New Roman" w:cs="Times New Roman"/>
          <w:kern w:val="0"/>
          <w:szCs w:val="21"/>
        </w:rPr>
        <w:t>%</w:t>
      </w:r>
      <w:r w:rsidRPr="00737794">
        <w:rPr>
          <w:rFonts w:ascii="Times New Roman" w:hAnsi="Times New Roman" w:cs="Times New Roman"/>
          <w:kern w:val="0"/>
          <w:szCs w:val="21"/>
        </w:rPr>
        <w:t>，流式细胞仪分析中</w:t>
      </w:r>
      <w:r w:rsidRPr="00737794">
        <w:rPr>
          <w:rFonts w:ascii="Times New Roman" w:hAnsi="Times New Roman" w:cs="Times New Roman"/>
          <w:kern w:val="0"/>
          <w:szCs w:val="21"/>
        </w:rPr>
        <w:t>“</w:t>
      </w:r>
      <w:r w:rsidRPr="00737794">
        <w:rPr>
          <w:rFonts w:ascii="Times New Roman" w:hAnsi="Times New Roman" w:cs="Times New Roman"/>
          <w:kern w:val="0"/>
          <w:szCs w:val="21"/>
        </w:rPr>
        <w:t>象限统计</w:t>
      </w:r>
      <w:r w:rsidRPr="00737794">
        <w:rPr>
          <w:rFonts w:ascii="Times New Roman" w:hAnsi="Times New Roman" w:cs="Times New Roman"/>
          <w:kern w:val="0"/>
          <w:szCs w:val="21"/>
        </w:rPr>
        <w:t>”</w:t>
      </w:r>
      <w:r w:rsidRPr="00737794">
        <w:rPr>
          <w:rFonts w:ascii="Times New Roman" w:hAnsi="Times New Roman" w:cs="Times New Roman"/>
          <w:kern w:val="0"/>
          <w:szCs w:val="21"/>
        </w:rPr>
        <w:t>的门控百分比数据。</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刺激指数（</w:t>
      </w:r>
      <w:r w:rsidRPr="00737794">
        <w:rPr>
          <w:rFonts w:ascii="Times New Roman" w:hAnsi="Times New Roman" w:cs="Times New Roman"/>
          <w:kern w:val="0"/>
          <w:szCs w:val="21"/>
        </w:rPr>
        <w:t>stimulation index</w:t>
      </w:r>
      <w:r w:rsidRPr="00737794">
        <w:rPr>
          <w:rFonts w:ascii="Times New Roman" w:hAnsi="Times New Roman" w:cs="Times New Roman"/>
          <w:kern w:val="0"/>
          <w:szCs w:val="21"/>
        </w:rPr>
        <w:t>，</w:t>
      </w:r>
      <w:r w:rsidRPr="00737794">
        <w:rPr>
          <w:rFonts w:ascii="Times New Roman" w:hAnsi="Times New Roman" w:cs="Times New Roman"/>
          <w:kern w:val="0"/>
          <w:szCs w:val="21"/>
        </w:rPr>
        <w:t>SI</w:t>
      </w:r>
      <w:r w:rsidRPr="00737794">
        <w:rPr>
          <w:rFonts w:ascii="Times New Roman" w:hAnsi="Times New Roman" w:cs="Times New Roman"/>
          <w:kern w:val="0"/>
          <w:szCs w:val="21"/>
        </w:rPr>
        <w:t>）为</w:t>
      </w:r>
      <w:proofErr w:type="gramStart"/>
      <w:r w:rsidRPr="00737794">
        <w:rPr>
          <w:rFonts w:ascii="Times New Roman" w:hAnsi="Times New Roman" w:cs="Times New Roman"/>
          <w:kern w:val="0"/>
          <w:szCs w:val="21"/>
        </w:rPr>
        <w:t>受试物组或</w:t>
      </w:r>
      <w:proofErr w:type="gramEnd"/>
      <w:r w:rsidRPr="00737794">
        <w:rPr>
          <w:rFonts w:ascii="Times New Roman" w:hAnsi="Times New Roman" w:cs="Times New Roman"/>
          <w:kern w:val="0"/>
          <w:szCs w:val="21"/>
        </w:rPr>
        <w:t>阳性对照组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标记细胞数均值与溶剂对照组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标记细胞数均值比值，计算公式如下：</w:t>
      </w:r>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 xml:space="preserve">              </w:t>
      </w:r>
      <w:r w:rsidRPr="00737794">
        <w:rPr>
          <w:rFonts w:ascii="Times New Roman" w:hAnsi="Times New Roman" w:cs="Times New Roman" w:hint="eastAsia"/>
          <w:kern w:val="0"/>
          <w:szCs w:val="21"/>
        </w:rPr>
        <w:t xml:space="preserve">         </w:t>
      </w:r>
      <w:r w:rsidRPr="00737794">
        <w:rPr>
          <w:rFonts w:ascii="Times New Roman" w:hAnsi="Times New Roman" w:cs="Times New Roman"/>
          <w:kern w:val="0"/>
          <w:szCs w:val="21"/>
        </w:rPr>
        <w:t xml:space="preserve"> </w:t>
      </w:r>
      <w:r w:rsidRPr="00737794">
        <w:rPr>
          <w:rFonts w:ascii="Times New Roman" w:hAnsi="Times New Roman" w:cs="Times New Roman"/>
          <w:kern w:val="0"/>
          <w:szCs w:val="21"/>
        </w:rPr>
        <w:t>受试物或阳性对照组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标记细胞数均值</w:t>
      </w:r>
    </w:p>
    <w:p w:rsidR="00D9528B" w:rsidRPr="00737794" w:rsidRDefault="00FA1B99" w:rsidP="00737794">
      <w:pPr>
        <w:autoSpaceDE w:val="0"/>
        <w:autoSpaceDN w:val="0"/>
        <w:spacing w:line="300" w:lineRule="auto"/>
        <w:ind w:firstLineChars="200" w:firstLine="420"/>
        <w:rPr>
          <w:rFonts w:ascii="Times New Roman" w:hAnsi="Times New Roman" w:cs="Times New Roman"/>
          <w:kern w:val="0"/>
          <w:szCs w:val="21"/>
        </w:rPr>
      </w:pPr>
      <w:r>
        <w:rPr>
          <w:rFonts w:ascii="Times New Roman" w:hAnsi="Times New Roman" w:cs="Times New Roman"/>
          <w:noProof/>
          <w:kern w:val="0"/>
          <w:szCs w:val="21"/>
        </w:rPr>
        <mc:AlternateContent>
          <mc:Choice Requires="wps">
            <w:drawing>
              <wp:anchor distT="4294967295" distB="4294967295" distL="114300" distR="114300" simplePos="0" relativeHeight="251660288" behindDoc="0" locked="0" layoutInCell="1" allowOverlap="1" wp14:anchorId="01B01BC1" wp14:editId="5C2569F1">
                <wp:simplePos x="0" y="0"/>
                <wp:positionH relativeFrom="column">
                  <wp:posOffset>1405255</wp:posOffset>
                </wp:positionH>
                <wp:positionV relativeFrom="paragraph">
                  <wp:posOffset>109854</wp:posOffset>
                </wp:positionV>
                <wp:extent cx="3724275" cy="0"/>
                <wp:effectExtent l="0" t="0" r="95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24275" cy="0"/>
                        </a:xfrm>
                        <a:prstGeom prst="straightConnector1">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110.65pt;margin-top:8.65pt;width:29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">
                <o:lock v:ext="edit" shapetype="f"/>
              </v:shape>
            </w:pict>
          </mc:Fallback>
        </mc:AlternateContent>
      </w:r>
      <w:r w:rsidR="004E2EF6" w:rsidRPr="00737794">
        <w:rPr>
          <w:rFonts w:ascii="Times New Roman" w:hAnsi="Times New Roman" w:cs="Times New Roman"/>
          <w:kern w:val="0"/>
          <w:szCs w:val="21"/>
        </w:rPr>
        <w:t xml:space="preserve"> </w:t>
      </w:r>
      <w:r w:rsidR="004E2EF6" w:rsidRPr="00737794">
        <w:rPr>
          <w:rFonts w:ascii="Times New Roman" w:hAnsi="Times New Roman" w:cs="Times New Roman"/>
          <w:kern w:val="0"/>
          <w:szCs w:val="21"/>
        </w:rPr>
        <w:t>刺激指数（</w:t>
      </w:r>
      <w:r w:rsidR="004E2EF6" w:rsidRPr="00737794">
        <w:rPr>
          <w:rFonts w:ascii="Times New Roman" w:hAnsi="Times New Roman" w:cs="Times New Roman"/>
          <w:kern w:val="0"/>
          <w:szCs w:val="21"/>
        </w:rPr>
        <w:t>SI</w:t>
      </w:r>
      <w:r w:rsidR="004E2EF6" w:rsidRPr="00737794">
        <w:rPr>
          <w:rFonts w:ascii="Times New Roman" w:hAnsi="Times New Roman" w:cs="Times New Roman"/>
          <w:kern w:val="0"/>
          <w:szCs w:val="21"/>
        </w:rPr>
        <w:t>）</w:t>
      </w:r>
      <w:r w:rsidR="004E2EF6" w:rsidRPr="00737794">
        <w:rPr>
          <w:rFonts w:ascii="Times New Roman" w:hAnsi="Times New Roman" w:cs="Times New Roman"/>
          <w:kern w:val="0"/>
          <w:szCs w:val="21"/>
        </w:rPr>
        <w:t>=</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 xml:space="preserve">                   </w:t>
      </w:r>
      <w:r w:rsidRPr="00737794">
        <w:rPr>
          <w:rFonts w:ascii="Times New Roman" w:hAnsi="Times New Roman" w:cs="Times New Roman" w:hint="eastAsia"/>
          <w:kern w:val="0"/>
          <w:szCs w:val="21"/>
        </w:rPr>
        <w:t xml:space="preserve">         </w:t>
      </w:r>
      <w:r w:rsidRPr="00737794">
        <w:rPr>
          <w:rFonts w:ascii="Times New Roman" w:hAnsi="Times New Roman" w:cs="Times New Roman"/>
          <w:kern w:val="0"/>
          <w:szCs w:val="21"/>
        </w:rPr>
        <w:t>溶剂对照组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标记细胞数均值</w:t>
      </w:r>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EC</w:t>
      </w:r>
      <w:bookmarkStart w:id="11" w:name="_Hlk517183006"/>
      <w:r w:rsidRPr="00737794">
        <w:rPr>
          <w:rFonts w:ascii="Times New Roman" w:hAnsi="Times New Roman" w:cs="Times New Roman"/>
          <w:kern w:val="0"/>
          <w:szCs w:val="21"/>
        </w:rPr>
        <w:t>2.7</w:t>
      </w:r>
      <w:r w:rsidRPr="00737794">
        <w:rPr>
          <w:rFonts w:ascii="Times New Roman" w:hAnsi="Times New Roman" w:cs="Times New Roman"/>
          <w:kern w:val="0"/>
          <w:szCs w:val="21"/>
        </w:rPr>
        <w:t>（</w:t>
      </w:r>
      <w:r w:rsidRPr="00737794">
        <w:rPr>
          <w:rFonts w:ascii="Times New Roman" w:hAnsi="Times New Roman" w:cs="Times New Roman"/>
          <w:kern w:val="0"/>
          <w:szCs w:val="21"/>
        </w:rPr>
        <w:t>estimated concentration needed to produce SI =2.7</w:t>
      </w:r>
      <w:r w:rsidRPr="00737794">
        <w:rPr>
          <w:rFonts w:ascii="Times New Roman" w:hAnsi="Times New Roman" w:cs="Times New Roman"/>
          <w:kern w:val="0"/>
          <w:szCs w:val="21"/>
        </w:rPr>
        <w:t>）</w:t>
      </w:r>
      <w:bookmarkEnd w:id="11"/>
      <w:r w:rsidRPr="00737794">
        <w:rPr>
          <w:rFonts w:ascii="Times New Roman" w:hAnsi="Times New Roman" w:cs="Times New Roman"/>
          <w:kern w:val="0"/>
          <w:szCs w:val="21"/>
        </w:rPr>
        <w:t>为</w:t>
      </w:r>
      <w:r w:rsidRPr="00737794">
        <w:rPr>
          <w:rFonts w:ascii="Times New Roman" w:hAnsi="Times New Roman" w:cs="Times New Roman"/>
          <w:kern w:val="0"/>
          <w:szCs w:val="21"/>
        </w:rPr>
        <w:t>SI=2.7</w:t>
      </w:r>
      <w:r w:rsidRPr="00737794">
        <w:rPr>
          <w:rFonts w:ascii="Times New Roman" w:hAnsi="Times New Roman" w:cs="Times New Roman"/>
          <w:kern w:val="0"/>
          <w:szCs w:val="21"/>
        </w:rPr>
        <w:t>时受试物的浓度。当受试物</w:t>
      </w:r>
      <w:r w:rsidRPr="00737794">
        <w:rPr>
          <w:rFonts w:ascii="Times New Roman" w:hAnsi="Times New Roman" w:cs="Times New Roman"/>
          <w:kern w:val="0"/>
          <w:szCs w:val="21"/>
        </w:rPr>
        <w:t>3</w:t>
      </w:r>
      <w:r w:rsidRPr="00737794">
        <w:rPr>
          <w:rFonts w:ascii="Times New Roman" w:hAnsi="Times New Roman" w:cs="Times New Roman"/>
          <w:kern w:val="0"/>
          <w:szCs w:val="21"/>
        </w:rPr>
        <w:t>个浓度分别为</w:t>
      </w:r>
      <w:r w:rsidRPr="00737794">
        <w:rPr>
          <w:rFonts w:ascii="Times New Roman" w:hAnsi="Times New Roman" w:cs="Times New Roman"/>
          <w:kern w:val="0"/>
          <w:szCs w:val="21"/>
        </w:rPr>
        <w:t>SI</w:t>
      </w:r>
      <w:r w:rsidRPr="00737794">
        <w:rPr>
          <w:rFonts w:ascii="Times New Roman" w:hAnsi="Times New Roman" w:cs="Times New Roman"/>
          <w:kern w:val="0"/>
          <w:szCs w:val="21"/>
        </w:rPr>
        <w:t>＞</w:t>
      </w:r>
      <w:r w:rsidRPr="00737794">
        <w:rPr>
          <w:rFonts w:ascii="Times New Roman" w:hAnsi="Times New Roman" w:cs="Times New Roman"/>
          <w:kern w:val="0"/>
          <w:szCs w:val="21"/>
        </w:rPr>
        <w:t>2.7</w:t>
      </w:r>
      <w:r w:rsidRPr="00737794">
        <w:rPr>
          <w:rFonts w:ascii="Times New Roman" w:hAnsi="Times New Roman" w:cs="Times New Roman"/>
          <w:kern w:val="0"/>
          <w:szCs w:val="21"/>
        </w:rPr>
        <w:t>和</w:t>
      </w:r>
      <w:r w:rsidRPr="00737794">
        <w:rPr>
          <w:rFonts w:ascii="Times New Roman" w:hAnsi="Times New Roman" w:cs="Times New Roman"/>
          <w:kern w:val="0"/>
          <w:szCs w:val="21"/>
        </w:rPr>
        <w:t>SI</w:t>
      </w:r>
      <w:r w:rsidRPr="00737794">
        <w:rPr>
          <w:rFonts w:ascii="Times New Roman" w:hAnsi="Times New Roman" w:cs="Times New Roman"/>
          <w:kern w:val="0"/>
          <w:szCs w:val="21"/>
        </w:rPr>
        <w:t>＜</w:t>
      </w:r>
      <w:r w:rsidRPr="00737794">
        <w:rPr>
          <w:rFonts w:ascii="Times New Roman" w:hAnsi="Times New Roman" w:cs="Times New Roman"/>
          <w:kern w:val="0"/>
          <w:szCs w:val="21"/>
        </w:rPr>
        <w:t>2.7</w:t>
      </w:r>
      <w:r w:rsidRPr="00737794">
        <w:rPr>
          <w:rFonts w:ascii="Times New Roman" w:hAnsi="Times New Roman" w:cs="Times New Roman"/>
          <w:kern w:val="0"/>
          <w:szCs w:val="21"/>
        </w:rPr>
        <w:t>时，计算公式如下：</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m:oMathPara>
        <m:oMathParaPr>
          <m:jc m:val="center"/>
        </m:oMathParaPr>
        <m:oMath>
          <m:r>
            <m:rPr>
              <m:sty m:val="p"/>
            </m:rPr>
            <w:rPr>
              <w:rFonts w:ascii="Cambria Math" w:eastAsia="Times New Roman" w:hAnsi="Cambria Math" w:cs="Times New Roman"/>
              <w:color w:val="000000" w:themeColor="text1"/>
              <w:kern w:val="0"/>
              <w:szCs w:val="32"/>
            </w:rPr>
            <m:t>EC2.7=c+</m:t>
          </m:r>
          <m:d>
            <m:dPr>
              <m:begChr m:val="["/>
              <m:endChr m:val="]"/>
              <m:ctrlPr>
                <w:rPr>
                  <w:rFonts w:ascii="Cambria Math" w:eastAsia="Times New Roman" w:hAnsi="Cambria Math" w:cs="Times New Roman"/>
                  <w:color w:val="000000" w:themeColor="text1"/>
                  <w:kern w:val="0"/>
                  <w:szCs w:val="32"/>
                </w:rPr>
              </m:ctrlPr>
            </m:dPr>
            <m:e>
              <m:f>
                <m:fPr>
                  <m:ctrlPr>
                    <w:rPr>
                      <w:rFonts w:ascii="Cambria Math" w:eastAsia="Times New Roman" w:hAnsi="Cambria Math" w:cs="Times New Roman"/>
                      <w:color w:val="000000" w:themeColor="text1"/>
                      <w:kern w:val="0"/>
                      <w:szCs w:val="32"/>
                    </w:rPr>
                  </m:ctrlPr>
                </m:fPr>
                <m:num>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2.7-d</m:t>
                      </m:r>
                    </m:e>
                  </m:d>
                </m:num>
                <m:den>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b-d</m:t>
                      </m:r>
                    </m:e>
                  </m:d>
                </m:den>
              </m:f>
              <m:r>
                <m:rPr>
                  <m:sty m:val="p"/>
                </m:rPr>
                <w:rPr>
                  <w:rFonts w:ascii="Cambria Math" w:eastAsia="Times New Roman" w:hAnsi="Cambria Math" w:cs="Times New Roman"/>
                  <w:color w:val="000000" w:themeColor="text1"/>
                  <w:kern w:val="0"/>
                  <w:szCs w:val="32"/>
                </w:rPr>
                <m:t>×</m:t>
              </m:r>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a-c</m:t>
                  </m:r>
                </m:e>
              </m:d>
            </m:e>
          </m:d>
        </m:oMath>
      </m:oMathPara>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当受试物</w:t>
      </w:r>
      <w:r w:rsidRPr="00737794">
        <w:rPr>
          <w:rFonts w:ascii="Times New Roman" w:hAnsi="Times New Roman" w:cs="Times New Roman"/>
          <w:kern w:val="0"/>
          <w:szCs w:val="21"/>
        </w:rPr>
        <w:t>3</w:t>
      </w:r>
      <w:r w:rsidRPr="00737794">
        <w:rPr>
          <w:rFonts w:ascii="Times New Roman" w:hAnsi="Times New Roman" w:cs="Times New Roman"/>
          <w:kern w:val="0"/>
          <w:szCs w:val="21"/>
        </w:rPr>
        <w:t>个浓度均为</w:t>
      </w:r>
      <w:r w:rsidRPr="00737794">
        <w:rPr>
          <w:rFonts w:ascii="Times New Roman" w:hAnsi="Times New Roman" w:cs="Times New Roman"/>
          <w:kern w:val="0"/>
          <w:szCs w:val="21"/>
        </w:rPr>
        <w:t>SI</w:t>
      </w:r>
      <w:r w:rsidR="0057662C" w:rsidRPr="00737794">
        <w:rPr>
          <w:rFonts w:ascii="Times New Roman" w:hAnsi="Times New Roman" w:cs="Times New Roman"/>
          <w:kern w:val="0"/>
          <w:szCs w:val="21"/>
        </w:rPr>
        <w:fldChar w:fldCharType="begin"/>
      </w:r>
      <w:r w:rsidRPr="00737794">
        <w:rPr>
          <w:rFonts w:ascii="Times New Roman" w:hAnsi="Times New Roman" w:cs="Times New Roman"/>
          <w:kern w:val="0"/>
          <w:szCs w:val="21"/>
        </w:rPr>
        <w:instrText xml:space="preserve"> QUOTE </w:instrText>
      </w:r>
      <w:r w:rsidR="00E5538F">
        <w:rPr>
          <w:rFonts w:ascii="Times New Roman" w:hAnsi="Times New Roman" w:cs="Times New Roman"/>
          <w:kern w:val="0"/>
          <w:szCs w:val="21"/>
        </w:rPr>
        <w:pict>
          <v:shape id="_x0000_i1027" type="#_x0000_t75" style="width:7.5pt;height:19.4pt" equationxml="&lt;">
            <v:imagedata r:id="rId12" o:title="" chromakey="white"/>
          </v:shape>
        </w:pict>
      </w:r>
      <w:r w:rsidR="0057662C" w:rsidRPr="00737794">
        <w:rPr>
          <w:rFonts w:ascii="Times New Roman" w:hAnsi="Times New Roman" w:cs="Times New Roman"/>
          <w:kern w:val="0"/>
          <w:szCs w:val="21"/>
        </w:rPr>
        <w:fldChar w:fldCharType="separate"/>
      </w:r>
      <w:r w:rsidRPr="00737794">
        <w:rPr>
          <w:rFonts w:ascii="Times New Roman" w:hAnsi="Times New Roman" w:cs="Times New Roman"/>
          <w:kern w:val="0"/>
          <w:szCs w:val="21"/>
        </w:rPr>
        <w:t>≥</w:t>
      </w:r>
      <w:r w:rsidR="0057662C" w:rsidRPr="00737794">
        <w:rPr>
          <w:rFonts w:ascii="Times New Roman" w:hAnsi="Times New Roman" w:cs="Times New Roman"/>
          <w:kern w:val="0"/>
          <w:szCs w:val="21"/>
        </w:rPr>
        <w:fldChar w:fldCharType="end"/>
      </w:r>
      <w:r w:rsidRPr="00737794">
        <w:rPr>
          <w:rFonts w:ascii="Times New Roman" w:hAnsi="Times New Roman" w:cs="Times New Roman"/>
          <w:kern w:val="0"/>
          <w:szCs w:val="21"/>
        </w:rPr>
        <w:t>2.7</w:t>
      </w:r>
      <w:r w:rsidRPr="00737794">
        <w:rPr>
          <w:rFonts w:ascii="Times New Roman" w:hAnsi="Times New Roman" w:cs="Times New Roman"/>
          <w:kern w:val="0"/>
          <w:szCs w:val="21"/>
        </w:rPr>
        <w:t>时，计算公式如下：</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m:oMathPara>
        <m:oMath>
          <m:r>
            <m:rPr>
              <m:sty m:val="p"/>
            </m:rPr>
            <w:rPr>
              <w:rFonts w:ascii="Cambria Math" w:eastAsia="Times New Roman" w:hAnsi="Cambria Math" w:cs="Times New Roman"/>
              <w:color w:val="000000" w:themeColor="text1"/>
              <w:kern w:val="0"/>
              <w:szCs w:val="32"/>
            </w:rPr>
            <m:t>EC2.7=</m:t>
          </m:r>
          <m:sSup>
            <m:sSupPr>
              <m:ctrlPr>
                <w:rPr>
                  <w:rFonts w:ascii="Cambria Math" w:eastAsia="Times New Roman" w:hAnsi="Cambria Math" w:cs="Times New Roman"/>
                  <w:color w:val="000000" w:themeColor="text1"/>
                  <w:kern w:val="0"/>
                  <w:szCs w:val="32"/>
                </w:rPr>
              </m:ctrlPr>
            </m:sSupPr>
            <m:e>
              <m:r>
                <m:rPr>
                  <m:sty m:val="p"/>
                </m:rPr>
                <w:rPr>
                  <w:rFonts w:ascii="Cambria Math" w:eastAsia="Times New Roman" w:hAnsi="Cambria Math" w:cs="Times New Roman"/>
                  <w:color w:val="000000" w:themeColor="text1"/>
                  <w:kern w:val="0"/>
                  <w:szCs w:val="32"/>
                </w:rPr>
                <m:t>2</m:t>
              </m:r>
            </m:e>
            <m:sup>
              <m:d>
                <m:dPr>
                  <m:begChr m:val="{"/>
                  <m:endChr m:val="}"/>
                  <m:ctrlPr>
                    <w:rPr>
                      <w:rFonts w:ascii="Cambria Math" w:eastAsia="Times New Roman" w:hAnsi="Cambria Math" w:cs="Times New Roman"/>
                      <w:color w:val="000000" w:themeColor="text1"/>
                      <w:kern w:val="0"/>
                      <w:szCs w:val="32"/>
                    </w:rPr>
                  </m:ctrlPr>
                </m:dPr>
                <m:e>
                  <m:sSub>
                    <m:sSubPr>
                      <m:ctrlPr>
                        <w:rPr>
                          <w:rFonts w:ascii="Cambria Math" w:eastAsia="Times New Roman" w:hAnsi="Cambria Math" w:cs="Times New Roman"/>
                          <w:color w:val="000000" w:themeColor="text1"/>
                          <w:kern w:val="0"/>
                          <w:szCs w:val="32"/>
                        </w:rPr>
                      </m:ctrlPr>
                    </m:sSubPr>
                    <m:e>
                      <m:r>
                        <m:rPr>
                          <m:sty m:val="p"/>
                        </m:rPr>
                        <w:rPr>
                          <w:rFonts w:ascii="Cambria Math" w:eastAsia="Times New Roman" w:hAnsi="Cambria Math" w:cs="Times New Roman"/>
                          <w:color w:val="000000" w:themeColor="text1"/>
                          <w:kern w:val="0"/>
                          <w:szCs w:val="32"/>
                        </w:rPr>
                        <m:t>log</m:t>
                      </m:r>
                    </m:e>
                    <m:sub>
                      <m:r>
                        <m:rPr>
                          <m:sty m:val="p"/>
                        </m:rPr>
                        <w:rPr>
                          <w:rFonts w:ascii="Cambria Math" w:eastAsia="Times New Roman" w:hAnsi="Cambria Math" w:cs="Times New Roman"/>
                          <w:color w:val="000000" w:themeColor="text1"/>
                          <w:kern w:val="0"/>
                          <w:szCs w:val="32"/>
                        </w:rPr>
                        <m:t>2</m:t>
                      </m:r>
                    </m:sub>
                  </m:sSub>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c</m:t>
                      </m:r>
                    </m:e>
                  </m:d>
                  <m:r>
                    <m:rPr>
                      <m:sty m:val="p"/>
                    </m:rPr>
                    <w:rPr>
                      <w:rFonts w:ascii="Cambria Math" w:eastAsia="Times New Roman" w:hAnsi="Cambria Math" w:cs="Times New Roman"/>
                      <w:color w:val="000000" w:themeColor="text1"/>
                      <w:kern w:val="0"/>
                      <w:szCs w:val="32"/>
                    </w:rPr>
                    <m:t>+</m:t>
                  </m:r>
                  <m:f>
                    <m:fPr>
                      <m:ctrlPr>
                        <w:rPr>
                          <w:rFonts w:ascii="Cambria Math" w:eastAsia="Times New Roman" w:hAnsi="Cambria Math" w:cs="Times New Roman"/>
                          <w:color w:val="000000" w:themeColor="text1"/>
                          <w:kern w:val="0"/>
                          <w:szCs w:val="32"/>
                        </w:rPr>
                      </m:ctrlPr>
                    </m:fPr>
                    <m:num>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2.7-d</m:t>
                          </m:r>
                        </m:e>
                      </m:d>
                    </m:num>
                    <m:den>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b-d</m:t>
                          </m:r>
                        </m:e>
                      </m:d>
                    </m:den>
                  </m:f>
                  <m:r>
                    <m:rPr>
                      <m:sty m:val="p"/>
                    </m:rPr>
                    <w:rPr>
                      <w:rFonts w:ascii="Cambria Math" w:eastAsia="Times New Roman" w:hAnsi="Cambria Math" w:cs="Times New Roman"/>
                      <w:color w:val="000000" w:themeColor="text1"/>
                      <w:kern w:val="0"/>
                      <w:szCs w:val="32"/>
                    </w:rPr>
                    <m:t>×</m:t>
                  </m:r>
                  <m:d>
                    <m:dPr>
                      <m:begChr m:val="["/>
                      <m:endChr m:val="]"/>
                      <m:ctrlPr>
                        <w:rPr>
                          <w:rFonts w:ascii="Cambria Math" w:eastAsia="Times New Roman" w:hAnsi="Cambria Math" w:cs="Times New Roman"/>
                          <w:color w:val="000000" w:themeColor="text1"/>
                          <w:kern w:val="0"/>
                          <w:szCs w:val="32"/>
                        </w:rPr>
                      </m:ctrlPr>
                    </m:dPr>
                    <m:e>
                      <m:sSub>
                        <m:sSubPr>
                          <m:ctrlPr>
                            <w:rPr>
                              <w:rFonts w:ascii="Cambria Math" w:eastAsia="Times New Roman" w:hAnsi="Cambria Math" w:cs="Times New Roman"/>
                              <w:color w:val="000000" w:themeColor="text1"/>
                              <w:kern w:val="0"/>
                              <w:szCs w:val="32"/>
                            </w:rPr>
                          </m:ctrlPr>
                        </m:sSubPr>
                        <m:e>
                          <m:r>
                            <m:rPr>
                              <m:sty m:val="p"/>
                            </m:rPr>
                            <w:rPr>
                              <w:rFonts w:ascii="Cambria Math" w:eastAsia="Times New Roman" w:hAnsi="Cambria Math" w:cs="Times New Roman"/>
                              <w:color w:val="000000" w:themeColor="text1"/>
                              <w:kern w:val="0"/>
                              <w:szCs w:val="32"/>
                            </w:rPr>
                            <m:t>log</m:t>
                          </m:r>
                        </m:e>
                        <m:sub>
                          <m:r>
                            <m:rPr>
                              <m:sty m:val="p"/>
                            </m:rPr>
                            <w:rPr>
                              <w:rFonts w:ascii="Cambria Math" w:eastAsia="Times New Roman" w:hAnsi="Cambria Math" w:cs="Times New Roman"/>
                              <w:color w:val="000000" w:themeColor="text1"/>
                              <w:kern w:val="0"/>
                              <w:szCs w:val="32"/>
                            </w:rPr>
                            <m:t>2</m:t>
                          </m:r>
                        </m:sub>
                      </m:sSub>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a</m:t>
                          </m:r>
                        </m:e>
                      </m:d>
                      <m:r>
                        <m:rPr>
                          <m:sty m:val="p"/>
                        </m:rPr>
                        <w:rPr>
                          <w:rFonts w:ascii="Cambria Math" w:eastAsia="Times New Roman" w:hAnsi="Cambria Math" w:cs="Times New Roman"/>
                          <w:color w:val="000000" w:themeColor="text1"/>
                          <w:kern w:val="0"/>
                          <w:szCs w:val="32"/>
                        </w:rPr>
                        <m:t>-</m:t>
                      </m:r>
                      <m:sSub>
                        <m:sSubPr>
                          <m:ctrlPr>
                            <w:rPr>
                              <w:rFonts w:ascii="Cambria Math" w:eastAsia="Times New Roman" w:hAnsi="Cambria Math" w:cs="Times New Roman"/>
                              <w:color w:val="000000" w:themeColor="text1"/>
                              <w:kern w:val="0"/>
                              <w:szCs w:val="32"/>
                            </w:rPr>
                          </m:ctrlPr>
                        </m:sSubPr>
                        <m:e>
                          <m:r>
                            <m:rPr>
                              <m:sty m:val="p"/>
                            </m:rPr>
                            <w:rPr>
                              <w:rFonts w:ascii="Cambria Math" w:eastAsia="Times New Roman" w:hAnsi="Cambria Math" w:cs="Times New Roman"/>
                              <w:color w:val="000000" w:themeColor="text1"/>
                              <w:kern w:val="0"/>
                              <w:szCs w:val="32"/>
                            </w:rPr>
                            <m:t>log</m:t>
                          </m:r>
                        </m:e>
                        <m:sub>
                          <m:r>
                            <m:rPr>
                              <m:sty m:val="p"/>
                            </m:rPr>
                            <w:rPr>
                              <w:rFonts w:ascii="Cambria Math" w:eastAsia="Times New Roman" w:hAnsi="Cambria Math" w:cs="Times New Roman"/>
                              <w:color w:val="000000" w:themeColor="text1"/>
                              <w:kern w:val="0"/>
                              <w:szCs w:val="32"/>
                            </w:rPr>
                            <m:t>2</m:t>
                          </m:r>
                        </m:sub>
                      </m:sSub>
                      <m:d>
                        <m:dPr>
                          <m:ctrlPr>
                            <w:rPr>
                              <w:rFonts w:ascii="Cambria Math" w:eastAsia="Times New Roman" w:hAnsi="Cambria Math" w:cs="Times New Roman"/>
                              <w:color w:val="000000" w:themeColor="text1"/>
                              <w:kern w:val="0"/>
                              <w:szCs w:val="32"/>
                            </w:rPr>
                          </m:ctrlPr>
                        </m:dPr>
                        <m:e>
                          <m:r>
                            <m:rPr>
                              <m:sty m:val="p"/>
                            </m:rPr>
                            <w:rPr>
                              <w:rFonts w:ascii="Cambria Math" w:eastAsia="Times New Roman" w:hAnsi="Cambria Math" w:cs="Times New Roman"/>
                              <w:color w:val="000000" w:themeColor="text1"/>
                              <w:kern w:val="0"/>
                              <w:szCs w:val="32"/>
                            </w:rPr>
                            <m:t>c</m:t>
                          </m:r>
                        </m:e>
                      </m:d>
                    </m:e>
                  </m:d>
                </m:e>
              </m:d>
            </m:sup>
          </m:sSup>
        </m:oMath>
      </m:oMathPara>
    </w:p>
    <w:p w:rsidR="00D9528B" w:rsidRPr="00737794" w:rsidRDefault="00D9528B" w:rsidP="00737794">
      <w:pPr>
        <w:autoSpaceDE w:val="0"/>
        <w:autoSpaceDN w:val="0"/>
        <w:spacing w:line="300" w:lineRule="auto"/>
        <w:ind w:firstLineChars="200" w:firstLine="420"/>
        <w:rPr>
          <w:rFonts w:ascii="Times New Roman" w:hAnsi="Times New Roman" w:cs="Times New Roman"/>
          <w:kern w:val="0"/>
          <w:szCs w:val="21"/>
        </w:rPr>
      </w:pP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注：</w:t>
      </w:r>
      <w:r w:rsidRPr="00737794">
        <w:rPr>
          <w:rFonts w:ascii="Times New Roman" w:hAnsi="Times New Roman" w:cs="Times New Roman"/>
          <w:kern w:val="0"/>
          <w:szCs w:val="21"/>
        </w:rPr>
        <w:t>a</w:t>
      </w:r>
      <w:r w:rsidRPr="00737794">
        <w:rPr>
          <w:rFonts w:ascii="Times New Roman" w:hAnsi="Times New Roman" w:cs="Times New Roman"/>
          <w:kern w:val="0"/>
          <w:szCs w:val="21"/>
        </w:rPr>
        <w:t>、</w:t>
      </w:r>
      <w:r w:rsidRPr="00737794">
        <w:rPr>
          <w:rFonts w:ascii="Times New Roman" w:hAnsi="Times New Roman" w:cs="Times New Roman"/>
          <w:kern w:val="0"/>
          <w:szCs w:val="21"/>
        </w:rPr>
        <w:t>c</w:t>
      </w:r>
      <w:r w:rsidRPr="00737794">
        <w:rPr>
          <w:rFonts w:ascii="Times New Roman" w:hAnsi="Times New Roman" w:cs="Times New Roman"/>
          <w:kern w:val="0"/>
          <w:szCs w:val="21"/>
        </w:rPr>
        <w:t>为相邻两点受试物的浓度，</w:t>
      </w:r>
      <w:r w:rsidRPr="00737794">
        <w:rPr>
          <w:rFonts w:ascii="Times New Roman" w:hAnsi="Times New Roman" w:cs="Times New Roman"/>
          <w:kern w:val="0"/>
          <w:szCs w:val="21"/>
        </w:rPr>
        <w:t>b</w:t>
      </w:r>
      <w:r w:rsidRPr="00737794">
        <w:rPr>
          <w:rFonts w:ascii="Times New Roman" w:hAnsi="Times New Roman" w:cs="Times New Roman"/>
          <w:kern w:val="0"/>
          <w:szCs w:val="21"/>
        </w:rPr>
        <w:t>、</w:t>
      </w:r>
      <w:r w:rsidRPr="00737794">
        <w:rPr>
          <w:rFonts w:ascii="Times New Roman" w:hAnsi="Times New Roman" w:cs="Times New Roman"/>
          <w:kern w:val="0"/>
          <w:szCs w:val="21"/>
        </w:rPr>
        <w:t>d</w:t>
      </w:r>
      <w:r w:rsidRPr="00737794">
        <w:rPr>
          <w:rFonts w:ascii="Times New Roman" w:hAnsi="Times New Roman" w:cs="Times New Roman"/>
          <w:kern w:val="0"/>
          <w:szCs w:val="21"/>
        </w:rPr>
        <w:t>为相应</w:t>
      </w:r>
      <w:r w:rsidRPr="00737794">
        <w:rPr>
          <w:rFonts w:ascii="Times New Roman" w:hAnsi="Times New Roman" w:cs="Times New Roman"/>
          <w:kern w:val="0"/>
          <w:szCs w:val="21"/>
        </w:rPr>
        <w:t>SI</w:t>
      </w:r>
      <w:r w:rsidRPr="00737794">
        <w:rPr>
          <w:rFonts w:ascii="Times New Roman" w:hAnsi="Times New Roman" w:cs="Times New Roman"/>
          <w:kern w:val="0"/>
          <w:szCs w:val="21"/>
        </w:rPr>
        <w:t>值。</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数据应以表格形式显示每只小鼠的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标记细胞数量、每组的</w:t>
      </w:r>
      <w:r w:rsidRPr="00737794">
        <w:rPr>
          <w:rFonts w:ascii="Times New Roman" w:hAnsi="Times New Roman" w:cs="Times New Roman"/>
          <w:kern w:val="0"/>
          <w:szCs w:val="21"/>
        </w:rPr>
        <w:t>BrdU</w:t>
      </w:r>
      <w:r w:rsidRPr="00737794">
        <w:rPr>
          <w:rFonts w:ascii="Times New Roman" w:hAnsi="Times New Roman" w:cs="Times New Roman"/>
          <w:kern w:val="0"/>
          <w:szCs w:val="21"/>
        </w:rPr>
        <w:t>标记细胞数量均值与标准差、每个受试物各剂量组的平均</w:t>
      </w:r>
      <w:r w:rsidRPr="00737794">
        <w:rPr>
          <w:rFonts w:ascii="Times New Roman" w:hAnsi="Times New Roman" w:cs="Times New Roman"/>
          <w:kern w:val="0"/>
          <w:szCs w:val="21"/>
        </w:rPr>
        <w:t>SI</w:t>
      </w:r>
      <w:r w:rsidRPr="00737794">
        <w:rPr>
          <w:rFonts w:ascii="Times New Roman" w:hAnsi="Times New Roman" w:cs="Times New Roman"/>
          <w:kern w:val="0"/>
          <w:szCs w:val="21"/>
        </w:rPr>
        <w:t>值。计算每个受试物的</w:t>
      </w:r>
      <w:r w:rsidRPr="00737794">
        <w:rPr>
          <w:rFonts w:ascii="Times New Roman" w:hAnsi="Times New Roman" w:cs="Times New Roman"/>
          <w:kern w:val="0"/>
          <w:szCs w:val="21"/>
        </w:rPr>
        <w:t>EC2.7</w:t>
      </w:r>
      <w:r w:rsidRPr="00737794">
        <w:rPr>
          <w:rFonts w:ascii="Times New Roman" w:hAnsi="Times New Roman" w:cs="Times New Roman"/>
          <w:kern w:val="0"/>
          <w:szCs w:val="21"/>
        </w:rPr>
        <w:t>值并判定致敏强度。对所有数据</w:t>
      </w:r>
      <w:r w:rsidR="00664D48" w:rsidRPr="00737794">
        <w:rPr>
          <w:rFonts w:ascii="Times New Roman" w:hAnsi="Times New Roman" w:cs="Times New Roman" w:hint="eastAsia"/>
          <w:kern w:val="0"/>
          <w:szCs w:val="21"/>
        </w:rPr>
        <w:t>选用</w:t>
      </w:r>
      <w:r w:rsidRPr="00737794">
        <w:rPr>
          <w:rFonts w:ascii="Times New Roman" w:hAnsi="Times New Roman" w:cs="Times New Roman"/>
          <w:kern w:val="0"/>
          <w:szCs w:val="21"/>
        </w:rPr>
        <w:t>合理</w:t>
      </w:r>
      <w:r w:rsidR="00664D48" w:rsidRPr="00737794">
        <w:rPr>
          <w:rFonts w:ascii="Times New Roman" w:hAnsi="Times New Roman" w:cs="Times New Roman" w:hint="eastAsia"/>
          <w:kern w:val="0"/>
          <w:szCs w:val="21"/>
        </w:rPr>
        <w:t>可靠</w:t>
      </w:r>
      <w:r w:rsidRPr="00737794">
        <w:rPr>
          <w:rFonts w:ascii="Times New Roman" w:hAnsi="Times New Roman" w:cs="Times New Roman"/>
          <w:kern w:val="0"/>
          <w:szCs w:val="21"/>
        </w:rPr>
        <w:t>的统计学方法进行评价。</w:t>
      </w:r>
    </w:p>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r w:rsidRPr="00737794">
        <w:rPr>
          <w:rFonts w:ascii="Times New Roman" w:eastAsia="黑体" w:hAnsi="Times New Roman" w:cs="Times New Roman" w:hint="eastAsia"/>
          <w:bCs/>
          <w:kern w:val="0"/>
          <w:szCs w:val="21"/>
        </w:rPr>
        <w:t>9</w:t>
      </w:r>
      <w:r w:rsidRPr="00737794">
        <w:rPr>
          <w:rFonts w:ascii="Times New Roman" w:eastAsia="黑体" w:hAnsi="Times New Roman" w:cs="Times New Roman"/>
          <w:bCs/>
          <w:kern w:val="0"/>
          <w:szCs w:val="21"/>
        </w:rPr>
        <w:t xml:space="preserve"> </w:t>
      </w:r>
      <w:r w:rsidRPr="00737794">
        <w:rPr>
          <w:rFonts w:ascii="Times New Roman" w:eastAsia="黑体" w:hAnsi="Times New Roman" w:cs="Times New Roman"/>
          <w:bCs/>
          <w:kern w:val="0"/>
          <w:szCs w:val="21"/>
        </w:rPr>
        <w:t>结果判定</w:t>
      </w:r>
    </w:p>
    <w:p w:rsidR="00D9528B" w:rsidRP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刺激指数</w:t>
      </w:r>
      <w:r w:rsidRPr="00737794">
        <w:rPr>
          <w:rFonts w:ascii="Times New Roman" w:hAnsi="Times New Roman" w:cs="Times New Roman"/>
          <w:kern w:val="0"/>
          <w:szCs w:val="21"/>
        </w:rPr>
        <w:t>SI≥2.7</w:t>
      </w:r>
      <w:r w:rsidRPr="00737794">
        <w:rPr>
          <w:rFonts w:ascii="Times New Roman" w:hAnsi="Times New Roman" w:cs="Times New Roman"/>
          <w:kern w:val="0"/>
          <w:szCs w:val="21"/>
        </w:rPr>
        <w:t>，受试物为致敏阳性。对于临界值是否判断为阳性，应结合考虑剂量</w:t>
      </w:r>
      <w:r w:rsidRPr="00737794">
        <w:rPr>
          <w:rFonts w:ascii="Times New Roman" w:hAnsi="Times New Roman" w:cs="Times New Roman"/>
          <w:kern w:val="0"/>
          <w:szCs w:val="21"/>
        </w:rPr>
        <w:t>-</w:t>
      </w:r>
      <w:r w:rsidRPr="00737794">
        <w:rPr>
          <w:rFonts w:ascii="Times New Roman" w:hAnsi="Times New Roman" w:cs="Times New Roman"/>
          <w:kern w:val="0"/>
          <w:szCs w:val="21"/>
        </w:rPr>
        <w:t>效应关系、统计显著性、系统毒性或皮肤刺激性、溶剂对照与阳性对照反应一致性、与已知致敏物的结构关系等。按表</w:t>
      </w:r>
      <w:r w:rsidRPr="00737794">
        <w:rPr>
          <w:rFonts w:ascii="Times New Roman" w:hAnsi="Times New Roman" w:cs="Times New Roman"/>
          <w:kern w:val="0"/>
          <w:szCs w:val="21"/>
        </w:rPr>
        <w:t>2</w:t>
      </w:r>
      <w:r w:rsidRPr="00737794">
        <w:rPr>
          <w:rFonts w:ascii="Times New Roman" w:hAnsi="Times New Roman" w:cs="Times New Roman"/>
          <w:kern w:val="0"/>
          <w:szCs w:val="21"/>
        </w:rPr>
        <w:t>对受试物进行致敏强度分级。</w:t>
      </w:r>
    </w:p>
    <w:p w:rsidR="00D9528B" w:rsidRPr="00737794" w:rsidRDefault="004E2EF6" w:rsidP="00737794">
      <w:pPr>
        <w:autoSpaceDE w:val="0"/>
        <w:autoSpaceDN w:val="0"/>
        <w:spacing w:beforeLines="50" w:before="156" w:afterLines="50" w:after="156" w:line="300" w:lineRule="auto"/>
        <w:jc w:val="center"/>
        <w:rPr>
          <w:rFonts w:ascii="Times New Roman" w:eastAsia="黑体" w:hAnsi="Times New Roman" w:cs="Times New Roman"/>
          <w:kern w:val="0"/>
          <w:szCs w:val="21"/>
        </w:rPr>
      </w:pPr>
      <w:r w:rsidRPr="00737794">
        <w:rPr>
          <w:rFonts w:ascii="Times New Roman" w:eastAsia="黑体" w:hAnsi="Times New Roman" w:cs="Times New Roman"/>
          <w:kern w:val="0"/>
          <w:szCs w:val="21"/>
        </w:rPr>
        <w:t>表</w:t>
      </w:r>
      <w:r w:rsidRPr="00737794">
        <w:rPr>
          <w:rFonts w:ascii="Times New Roman" w:eastAsia="黑体" w:hAnsi="Times New Roman" w:cs="Times New Roman"/>
          <w:kern w:val="0"/>
          <w:szCs w:val="21"/>
        </w:rPr>
        <w:t xml:space="preserve">2  </w:t>
      </w:r>
      <w:r w:rsidRPr="00737794">
        <w:rPr>
          <w:rFonts w:ascii="Times New Roman" w:eastAsia="黑体" w:hAnsi="Times New Roman" w:cs="Times New Roman"/>
          <w:kern w:val="0"/>
          <w:szCs w:val="21"/>
        </w:rPr>
        <w:t>皮肤致敏强度分级</w:t>
      </w:r>
    </w:p>
    <w:tbl>
      <w:tblPr>
        <w:tblW w:w="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257"/>
      </w:tblGrid>
      <w:tr w:rsidR="00D9528B" w:rsidRPr="00737794">
        <w:trPr>
          <w:trHeight w:val="415"/>
          <w:jc w:val="center"/>
        </w:trPr>
        <w:tc>
          <w:tcPr>
            <w:tcW w:w="3242" w:type="dxa"/>
            <w:tcBorders>
              <w:left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EC2.7(%)</w:t>
            </w:r>
            <w:r w:rsidRPr="00737794">
              <w:rPr>
                <w:rFonts w:ascii="Times New Roman" w:hAnsi="Times New Roman" w:cs="Times New Roman"/>
                <w:kern w:val="0"/>
                <w:szCs w:val="21"/>
              </w:rPr>
              <w:t>值范围</w:t>
            </w:r>
          </w:p>
        </w:tc>
        <w:tc>
          <w:tcPr>
            <w:tcW w:w="2257" w:type="dxa"/>
            <w:tcBorders>
              <w:left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致敏强度</w:t>
            </w:r>
          </w:p>
        </w:tc>
      </w:tr>
      <w:tr w:rsidR="00D9528B" w:rsidRPr="00737794">
        <w:trPr>
          <w:trHeight w:val="415"/>
          <w:jc w:val="center"/>
        </w:trPr>
        <w:tc>
          <w:tcPr>
            <w:tcW w:w="3242" w:type="dxa"/>
            <w:tcBorders>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EC2.7(%)&lt;0.1</w:t>
            </w:r>
          </w:p>
        </w:tc>
        <w:tc>
          <w:tcPr>
            <w:tcW w:w="2257" w:type="dxa"/>
            <w:tcBorders>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极强</w:t>
            </w:r>
          </w:p>
        </w:tc>
      </w:tr>
      <w:tr w:rsidR="00D9528B" w:rsidRPr="00737794">
        <w:trPr>
          <w:trHeight w:val="382"/>
          <w:jc w:val="center"/>
        </w:trPr>
        <w:tc>
          <w:tcPr>
            <w:tcW w:w="3242" w:type="dxa"/>
            <w:tcBorders>
              <w:top w:val="nil"/>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lastRenderedPageBreak/>
              <w:t>0.1≤ EC2.7(%)&lt;1</w:t>
            </w:r>
            <w:r w:rsidR="0057662C" w:rsidRPr="00737794">
              <w:rPr>
                <w:rFonts w:ascii="Times New Roman" w:hAnsi="Times New Roman" w:cs="Times New Roman"/>
                <w:kern w:val="0"/>
                <w:szCs w:val="21"/>
              </w:rPr>
              <w:fldChar w:fldCharType="begin"/>
            </w:r>
            <w:r w:rsidRPr="00737794">
              <w:rPr>
                <w:rFonts w:ascii="Times New Roman" w:hAnsi="Times New Roman" w:cs="Times New Roman"/>
                <w:kern w:val="0"/>
                <w:szCs w:val="21"/>
              </w:rPr>
              <w:instrText xml:space="preserve"> QUOTE </w:instrText>
            </w:r>
            <w:r w:rsidR="00E5538F">
              <w:rPr>
                <w:rFonts w:ascii="Times New Roman" w:hAnsi="Times New Roman" w:cs="Times New Roman"/>
                <w:kern w:val="0"/>
                <w:szCs w:val="21"/>
              </w:rPr>
              <w:pict>
                <v:shape id="_x0000_i1028" type="#_x0000_t75" style="width:70.1pt;height:15.65pt" equationxml="&lt;">
                  <v:imagedata r:id="rId13" o:title="" chromakey="white"/>
                </v:shape>
              </w:pict>
            </w:r>
            <w:r w:rsidR="0057662C" w:rsidRPr="00737794">
              <w:rPr>
                <w:rFonts w:ascii="Times New Roman" w:hAnsi="Times New Roman" w:cs="Times New Roman"/>
                <w:kern w:val="0"/>
                <w:szCs w:val="21"/>
              </w:rPr>
              <w:fldChar w:fldCharType="end"/>
            </w:r>
          </w:p>
        </w:tc>
        <w:tc>
          <w:tcPr>
            <w:tcW w:w="2257" w:type="dxa"/>
            <w:tcBorders>
              <w:top w:val="nil"/>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强</w:t>
            </w:r>
          </w:p>
        </w:tc>
      </w:tr>
      <w:tr w:rsidR="00D9528B" w:rsidRPr="00737794">
        <w:trPr>
          <w:trHeight w:val="382"/>
          <w:jc w:val="center"/>
        </w:trPr>
        <w:tc>
          <w:tcPr>
            <w:tcW w:w="3242" w:type="dxa"/>
            <w:tcBorders>
              <w:top w:val="nil"/>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1≤ EC2.7(%)&lt;10</w:t>
            </w:r>
          </w:p>
        </w:tc>
        <w:tc>
          <w:tcPr>
            <w:tcW w:w="2257" w:type="dxa"/>
            <w:tcBorders>
              <w:top w:val="nil"/>
              <w:left w:val="nil"/>
              <w:bottom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中</w:t>
            </w:r>
          </w:p>
        </w:tc>
      </w:tr>
      <w:tr w:rsidR="00D9528B" w:rsidRPr="00737794">
        <w:trPr>
          <w:trHeight w:val="415"/>
          <w:jc w:val="center"/>
        </w:trPr>
        <w:tc>
          <w:tcPr>
            <w:tcW w:w="3242" w:type="dxa"/>
            <w:tcBorders>
              <w:top w:val="nil"/>
              <w:left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10≤ EC2.7(%)&lt;100</w:t>
            </w:r>
          </w:p>
        </w:tc>
        <w:tc>
          <w:tcPr>
            <w:tcW w:w="2257" w:type="dxa"/>
            <w:tcBorders>
              <w:top w:val="nil"/>
              <w:left w:val="nil"/>
              <w:right w:val="nil"/>
            </w:tcBorders>
            <w:vAlign w:val="center"/>
          </w:tcPr>
          <w:p w:rsidR="00D9528B" w:rsidRPr="00737794" w:rsidRDefault="004E2EF6" w:rsidP="00737794">
            <w:pPr>
              <w:autoSpaceDE w:val="0"/>
              <w:autoSpaceDN w:val="0"/>
              <w:spacing w:line="300" w:lineRule="auto"/>
              <w:ind w:firstLineChars="200" w:firstLine="420"/>
              <w:jc w:val="center"/>
              <w:rPr>
                <w:rFonts w:ascii="Times New Roman" w:hAnsi="Times New Roman" w:cs="Times New Roman"/>
                <w:kern w:val="0"/>
                <w:szCs w:val="21"/>
              </w:rPr>
            </w:pPr>
            <w:r w:rsidRPr="00737794">
              <w:rPr>
                <w:rFonts w:ascii="Times New Roman" w:hAnsi="Times New Roman" w:cs="Times New Roman"/>
                <w:kern w:val="0"/>
                <w:szCs w:val="21"/>
              </w:rPr>
              <w:t>弱</w:t>
            </w:r>
          </w:p>
        </w:tc>
      </w:tr>
    </w:tbl>
    <w:p w:rsidR="00D9528B" w:rsidRPr="00737794" w:rsidRDefault="004E2EF6" w:rsidP="00737794">
      <w:pPr>
        <w:spacing w:beforeLines="50" w:before="156" w:afterLines="50" w:after="156" w:line="300" w:lineRule="auto"/>
        <w:rPr>
          <w:rFonts w:ascii="Times New Roman" w:eastAsia="黑体" w:hAnsi="Times New Roman" w:cs="Times New Roman"/>
          <w:bCs/>
          <w:kern w:val="0"/>
          <w:szCs w:val="21"/>
        </w:rPr>
      </w:pPr>
      <w:bookmarkStart w:id="12" w:name="_Hlk520189830"/>
      <w:r w:rsidRPr="00737794">
        <w:rPr>
          <w:rFonts w:ascii="Times New Roman" w:eastAsia="黑体" w:hAnsi="Times New Roman" w:cs="Times New Roman" w:hint="eastAsia"/>
          <w:bCs/>
          <w:kern w:val="0"/>
          <w:szCs w:val="21"/>
        </w:rPr>
        <w:t xml:space="preserve">10 </w:t>
      </w:r>
      <w:r w:rsidRPr="00737794">
        <w:rPr>
          <w:rFonts w:ascii="Times New Roman" w:eastAsia="黑体" w:hAnsi="Times New Roman" w:cs="Times New Roman"/>
          <w:bCs/>
          <w:kern w:val="0"/>
          <w:szCs w:val="21"/>
        </w:rPr>
        <w:t>试验结果的解释</w:t>
      </w:r>
    </w:p>
    <w:p w:rsidR="00737794" w:rsidRDefault="004E2EF6" w:rsidP="00737794">
      <w:pPr>
        <w:autoSpaceDE w:val="0"/>
        <w:autoSpaceDN w:val="0"/>
        <w:spacing w:line="300" w:lineRule="auto"/>
        <w:ind w:firstLineChars="200" w:firstLine="420"/>
        <w:rPr>
          <w:rFonts w:ascii="Times New Roman" w:hAnsi="Times New Roman" w:cs="Times New Roman"/>
          <w:kern w:val="0"/>
          <w:szCs w:val="21"/>
        </w:rPr>
      </w:pPr>
      <w:r w:rsidRPr="00737794">
        <w:rPr>
          <w:rFonts w:ascii="Times New Roman" w:hAnsi="Times New Roman" w:cs="Times New Roman"/>
          <w:kern w:val="0"/>
          <w:szCs w:val="21"/>
        </w:rPr>
        <w:t>试验结果应能得出受试物的致敏能力和强度。这些结果只能在很有限的范围内外推到人类。</w:t>
      </w:r>
      <w:bookmarkEnd w:id="12"/>
    </w:p>
    <w:p w:rsidR="00737794" w:rsidRDefault="00737794">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6C286F" w:rsidRPr="006C286F" w:rsidRDefault="006C286F" w:rsidP="006C286F">
      <w:pPr>
        <w:spacing w:beforeLines="50" w:before="156" w:afterLines="50" w:after="156" w:line="300" w:lineRule="auto"/>
        <w:jc w:val="center"/>
        <w:rPr>
          <w:rFonts w:ascii="Times New Roman" w:eastAsia="黑体" w:hAnsi="Times New Roman" w:cs="Times New Roman"/>
          <w:spacing w:val="-14"/>
          <w:kern w:val="0"/>
          <w:sz w:val="32"/>
          <w:szCs w:val="32"/>
        </w:rPr>
      </w:pPr>
      <w:r w:rsidRPr="006C286F">
        <w:rPr>
          <w:rFonts w:ascii="Times New Roman" w:eastAsia="黑体" w:hAnsi="Times New Roman" w:cs="Times New Roman"/>
          <w:spacing w:val="-14"/>
          <w:kern w:val="0"/>
          <w:sz w:val="32"/>
          <w:szCs w:val="32"/>
        </w:rPr>
        <w:lastRenderedPageBreak/>
        <w:t>皮肤变态反应：局部淋巴结试验：</w:t>
      </w:r>
      <w:r w:rsidRPr="006C286F">
        <w:rPr>
          <w:rFonts w:ascii="Times New Roman" w:eastAsia="黑体" w:hAnsi="Times New Roman" w:cs="Times New Roman"/>
          <w:spacing w:val="-14"/>
          <w:kern w:val="0"/>
          <w:sz w:val="32"/>
          <w:szCs w:val="32"/>
        </w:rPr>
        <w:t>BrdU-FCM</w:t>
      </w:r>
      <w:r w:rsidRPr="006C286F">
        <w:rPr>
          <w:rFonts w:ascii="Times New Roman" w:eastAsia="黑体" w:hAnsi="Times New Roman" w:cs="Times New Roman" w:hint="eastAsia"/>
          <w:spacing w:val="-14"/>
          <w:kern w:val="0"/>
          <w:sz w:val="32"/>
          <w:szCs w:val="32"/>
        </w:rPr>
        <w:t>（征求意见稿）</w:t>
      </w:r>
    </w:p>
    <w:p w:rsidR="006C286F" w:rsidRPr="006C286F" w:rsidRDefault="006C286F" w:rsidP="006C286F">
      <w:pPr>
        <w:spacing w:beforeLines="50" w:before="156" w:afterLines="50" w:after="156" w:line="300" w:lineRule="auto"/>
        <w:jc w:val="center"/>
        <w:rPr>
          <w:rFonts w:ascii="Times New Roman" w:eastAsia="黑体" w:hAnsi="Times New Roman" w:cs="Times New Roman"/>
          <w:spacing w:val="-14"/>
          <w:kern w:val="0"/>
          <w:sz w:val="32"/>
          <w:szCs w:val="32"/>
        </w:rPr>
      </w:pPr>
      <w:r w:rsidRPr="006C286F">
        <w:rPr>
          <w:rFonts w:ascii="Times New Roman" w:eastAsia="黑体" w:hAnsi="Times New Roman" w:cs="Times New Roman"/>
          <w:spacing w:val="-14"/>
          <w:kern w:val="0"/>
          <w:sz w:val="32"/>
          <w:szCs w:val="32"/>
        </w:rPr>
        <w:t>起草说明</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为加强化妆品的监督管理，进一步提高化妆品使用安全性，</w:t>
      </w:r>
      <w:r w:rsidR="00E5538F">
        <w:rPr>
          <w:rFonts w:ascii="Times New Roman" w:hAnsi="Times New Roman" w:cs="Times New Roman" w:hint="eastAsia"/>
          <w:kern w:val="0"/>
          <w:szCs w:val="21"/>
        </w:rPr>
        <w:t>化妆品标准化技术委员会</w:t>
      </w:r>
      <w:r w:rsidRPr="006C286F">
        <w:rPr>
          <w:rFonts w:ascii="Times New Roman" w:hAnsi="Times New Roman" w:cs="Times New Roman"/>
          <w:kern w:val="0"/>
          <w:szCs w:val="21"/>
        </w:rPr>
        <w:t>组织开展了皮肤变态反应：局部淋巴结试验：</w:t>
      </w:r>
      <w:proofErr w:type="spellStart"/>
      <w:r w:rsidRPr="006C286F">
        <w:rPr>
          <w:rFonts w:ascii="Times New Roman" w:hAnsi="Times New Roman" w:cs="Times New Roman"/>
          <w:kern w:val="0"/>
          <w:szCs w:val="21"/>
        </w:rPr>
        <w:t>BrdU</w:t>
      </w:r>
      <w:proofErr w:type="spellEnd"/>
      <w:r w:rsidRPr="006C286F">
        <w:rPr>
          <w:rFonts w:ascii="Times New Roman" w:hAnsi="Times New Roman" w:cs="Times New Roman"/>
          <w:kern w:val="0"/>
          <w:szCs w:val="21"/>
        </w:rPr>
        <w:t>-FCM</w:t>
      </w:r>
      <w:r w:rsidR="00E5538F" w:rsidRPr="00E5538F">
        <w:rPr>
          <w:rFonts w:ascii="Times New Roman" w:hAnsi="Times New Roman" w:cs="Times New Roman" w:hint="eastAsia"/>
          <w:kern w:val="0"/>
          <w:szCs w:val="21"/>
        </w:rPr>
        <w:t>（征求意见稿）</w:t>
      </w:r>
      <w:r w:rsidRPr="006C286F">
        <w:rPr>
          <w:rFonts w:ascii="Times New Roman" w:hAnsi="Times New Roman" w:cs="Times New Roman"/>
          <w:kern w:val="0"/>
          <w:szCs w:val="21"/>
        </w:rPr>
        <w:t>方法的研究制定工作。现就工作有关情况说明如下：</w:t>
      </w:r>
    </w:p>
    <w:p w:rsidR="006C286F" w:rsidRPr="006C286F" w:rsidRDefault="006C286F" w:rsidP="006C286F">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Times New Roman" w:eastAsia="黑体" w:hAnsi="Times New Roman" w:cs="Times New Roman"/>
          <w:kern w:val="0"/>
          <w:szCs w:val="21"/>
        </w:rPr>
        <w:t>起草原则</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本试验方法起草宗旨是采用目前各化妆品检测实验室已具备的试验条件与技术能力，保证方法科学规范的同时，兼具与国际标准的接轨性、先进性，以及可操作性和便捷性。</w:t>
      </w:r>
    </w:p>
    <w:p w:rsidR="006C286F" w:rsidRPr="006C286F" w:rsidRDefault="006C286F" w:rsidP="006C286F">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Times New Roman" w:eastAsia="黑体" w:hAnsi="Times New Roman" w:cs="Times New Roman"/>
          <w:kern w:val="0"/>
          <w:szCs w:val="21"/>
        </w:rPr>
        <w:t>起草过程</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本研究参照欧洲经济发展与合作组织（</w:t>
      </w:r>
      <w:r w:rsidRPr="006C286F">
        <w:rPr>
          <w:rFonts w:ascii="Times New Roman" w:hAnsi="Times New Roman" w:cs="Times New Roman"/>
          <w:kern w:val="0"/>
          <w:szCs w:val="21"/>
        </w:rPr>
        <w:t>OECD</w:t>
      </w:r>
      <w:r w:rsidRPr="006C286F">
        <w:rPr>
          <w:rFonts w:ascii="Times New Roman" w:hAnsi="Times New Roman" w:cs="Times New Roman"/>
          <w:kern w:val="0"/>
          <w:szCs w:val="21"/>
        </w:rPr>
        <w:t>）</w:t>
      </w:r>
      <w:r w:rsidRPr="006C286F">
        <w:rPr>
          <w:rFonts w:ascii="Times New Roman" w:hAnsi="Times New Roman" w:cs="Times New Roman"/>
          <w:kern w:val="0"/>
          <w:szCs w:val="21"/>
        </w:rPr>
        <w:t xml:space="preserve"> TG442B</w:t>
      </w:r>
      <w:r w:rsidRPr="006C286F">
        <w:rPr>
          <w:rFonts w:ascii="Times New Roman" w:hAnsi="Times New Roman" w:cs="Times New Roman"/>
          <w:kern w:val="0"/>
          <w:szCs w:val="21"/>
        </w:rPr>
        <w:t>中小鼠局部淋巴结试验（</w:t>
      </w:r>
      <w:r w:rsidRPr="006C286F">
        <w:rPr>
          <w:rFonts w:ascii="Times New Roman" w:hAnsi="Times New Roman" w:cs="Times New Roman"/>
          <w:kern w:val="0"/>
          <w:szCs w:val="21"/>
        </w:rPr>
        <w:t>LLNA</w:t>
      </w:r>
      <w:r w:rsidRPr="006C286F">
        <w:rPr>
          <w:rFonts w:ascii="Times New Roman" w:hAnsi="Times New Roman" w:cs="Times New Roman"/>
          <w:kern w:val="0"/>
          <w:szCs w:val="21"/>
        </w:rPr>
        <w:t>：</w:t>
      </w:r>
      <w:r w:rsidRPr="006C286F">
        <w:rPr>
          <w:rFonts w:ascii="Times New Roman" w:hAnsi="Times New Roman" w:cs="Times New Roman"/>
          <w:kern w:val="0"/>
          <w:szCs w:val="21"/>
        </w:rPr>
        <w:t>BrdU-FCM</w:t>
      </w:r>
      <w:r w:rsidRPr="006C286F">
        <w:rPr>
          <w:rFonts w:ascii="Times New Roman" w:hAnsi="Times New Roman" w:cs="Times New Roman"/>
          <w:kern w:val="0"/>
          <w:szCs w:val="21"/>
        </w:rPr>
        <w:t>）、我国《化妆品安全技术规范》中皮肤变态反应：局部淋巴结试验</w:t>
      </w:r>
      <w:r w:rsidRPr="006C286F">
        <w:rPr>
          <w:rFonts w:ascii="Times New Roman" w:hAnsi="Times New Roman" w:cs="Times New Roman"/>
          <w:kern w:val="0"/>
          <w:szCs w:val="21"/>
        </w:rPr>
        <w:t xml:space="preserve">BrdU-ELISA </w:t>
      </w:r>
      <w:r w:rsidRPr="006C286F">
        <w:rPr>
          <w:rFonts w:ascii="Times New Roman" w:hAnsi="Times New Roman" w:cs="Times New Roman"/>
          <w:kern w:val="0"/>
          <w:szCs w:val="21"/>
        </w:rPr>
        <w:t>的方法，拟定了皮肤变态反应：局部淋巴结试验：</w:t>
      </w:r>
      <w:r w:rsidRPr="006C286F">
        <w:rPr>
          <w:rFonts w:ascii="Times New Roman" w:hAnsi="Times New Roman" w:cs="Times New Roman"/>
          <w:kern w:val="0"/>
          <w:szCs w:val="21"/>
        </w:rPr>
        <w:t>BrdU-FCM</w:t>
      </w:r>
      <w:r w:rsidRPr="006C286F">
        <w:rPr>
          <w:rFonts w:ascii="Times New Roman" w:hAnsi="Times New Roman" w:cs="Times New Roman"/>
          <w:kern w:val="0"/>
          <w:szCs w:val="21"/>
        </w:rPr>
        <w:t>的试验方法，包括试验所需的材料、试验步骤、检测指标及测定方法、数据处理方法、结果判定标准等。根据拟定的方法对参考物质进行了本实验室的方法确认、实验室内验证及三家验证单位的实验室间验证，评估皮肤变态反应：局部淋巴结试验：</w:t>
      </w:r>
      <w:r w:rsidRPr="006C286F">
        <w:rPr>
          <w:rFonts w:ascii="Times New Roman" w:hAnsi="Times New Roman" w:cs="Times New Roman"/>
          <w:kern w:val="0"/>
          <w:szCs w:val="21"/>
        </w:rPr>
        <w:t>BrdU-FCM</w:t>
      </w:r>
      <w:r w:rsidRPr="006C286F">
        <w:rPr>
          <w:rFonts w:ascii="Times New Roman" w:hAnsi="Times New Roman" w:cs="Times New Roman"/>
          <w:kern w:val="0"/>
          <w:szCs w:val="21"/>
        </w:rPr>
        <w:t>试验方法在实验室内的重复性、在不同实验室间的再现性，并评估了方法的敏感性、特异性、对致敏剂和非致敏剂的预测能力，认为该方法可行，能用于化妆品原料的皮肤致敏性检测。</w:t>
      </w:r>
    </w:p>
    <w:p w:rsidR="006C286F" w:rsidRPr="006C286F" w:rsidRDefault="006C286F" w:rsidP="006C286F">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Times New Roman" w:eastAsia="黑体" w:hAnsi="Times New Roman" w:cs="Times New Roman"/>
          <w:kern w:val="0"/>
          <w:szCs w:val="21"/>
        </w:rPr>
        <w:t>与我国已有相关标准的关系</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目前国内《化妆品安全技术规范》中评价化妆品原料及产品的皮肤致敏性的检测方法是豚鼠最大值试验（</w:t>
      </w:r>
      <w:r w:rsidRPr="006C286F">
        <w:rPr>
          <w:rFonts w:ascii="Times New Roman" w:hAnsi="Times New Roman" w:cs="Times New Roman"/>
          <w:kern w:val="0"/>
          <w:szCs w:val="21"/>
        </w:rPr>
        <w:t>GPMT</w:t>
      </w:r>
      <w:r w:rsidRPr="006C286F">
        <w:rPr>
          <w:rFonts w:ascii="Times New Roman" w:hAnsi="Times New Roman" w:cs="Times New Roman"/>
          <w:kern w:val="0"/>
          <w:szCs w:val="21"/>
        </w:rPr>
        <w:t>）及局部</w:t>
      </w:r>
      <w:proofErr w:type="gramStart"/>
      <w:r w:rsidRPr="006C286F">
        <w:rPr>
          <w:rFonts w:ascii="Times New Roman" w:hAnsi="Times New Roman" w:cs="Times New Roman"/>
          <w:kern w:val="0"/>
          <w:szCs w:val="21"/>
        </w:rPr>
        <w:t>封闭涂皮试验</w:t>
      </w:r>
      <w:proofErr w:type="gramEnd"/>
      <w:r w:rsidRPr="006C286F">
        <w:rPr>
          <w:rFonts w:ascii="Times New Roman" w:hAnsi="Times New Roman" w:cs="Times New Roman"/>
          <w:kern w:val="0"/>
          <w:szCs w:val="21"/>
        </w:rPr>
        <w:t>（</w:t>
      </w:r>
      <w:r w:rsidRPr="006C286F">
        <w:rPr>
          <w:rFonts w:ascii="Times New Roman" w:hAnsi="Times New Roman" w:cs="Times New Roman"/>
          <w:kern w:val="0"/>
          <w:szCs w:val="21"/>
        </w:rPr>
        <w:t>BT</w:t>
      </w:r>
      <w:r w:rsidRPr="006C286F">
        <w:rPr>
          <w:rFonts w:ascii="Times New Roman" w:hAnsi="Times New Roman" w:cs="Times New Roman"/>
          <w:kern w:val="0"/>
          <w:szCs w:val="21"/>
        </w:rPr>
        <w:t>），局部淋巴结试验（</w:t>
      </w:r>
      <w:r w:rsidRPr="006C286F">
        <w:rPr>
          <w:rFonts w:ascii="Times New Roman" w:hAnsi="Times New Roman" w:cs="Times New Roman"/>
          <w:kern w:val="0"/>
          <w:szCs w:val="21"/>
        </w:rPr>
        <w:t>LLNA</w:t>
      </w:r>
      <w:r w:rsidRPr="006C286F">
        <w:rPr>
          <w:rFonts w:ascii="Times New Roman" w:hAnsi="Times New Roman" w:cs="Times New Roman"/>
          <w:kern w:val="0"/>
          <w:szCs w:val="21"/>
        </w:rPr>
        <w:t>）作为豚鼠致敏试验的替代试验用于检测化妆品原料的致敏性，其中局部淋巴结试验</w:t>
      </w:r>
      <w:r w:rsidRPr="006C286F">
        <w:rPr>
          <w:rFonts w:ascii="Times New Roman" w:hAnsi="Times New Roman" w:cs="Times New Roman"/>
          <w:kern w:val="0"/>
          <w:szCs w:val="21"/>
        </w:rPr>
        <w:t>DA</w:t>
      </w:r>
      <w:r w:rsidRPr="006C286F">
        <w:rPr>
          <w:rFonts w:ascii="Times New Roman" w:hAnsi="Times New Roman" w:cs="Times New Roman"/>
          <w:kern w:val="0"/>
          <w:szCs w:val="21"/>
        </w:rPr>
        <w:t>法、</w:t>
      </w:r>
      <w:r w:rsidRPr="006C286F">
        <w:rPr>
          <w:rFonts w:ascii="Times New Roman" w:hAnsi="Times New Roman" w:cs="Times New Roman"/>
          <w:kern w:val="0"/>
          <w:szCs w:val="21"/>
        </w:rPr>
        <w:t>BrdU-ELISA</w:t>
      </w:r>
      <w:r w:rsidRPr="006C286F">
        <w:rPr>
          <w:rFonts w:ascii="Times New Roman" w:hAnsi="Times New Roman" w:cs="Times New Roman"/>
          <w:kern w:val="0"/>
          <w:szCs w:val="21"/>
        </w:rPr>
        <w:t>法在</w:t>
      </w:r>
      <w:r w:rsidRPr="006C286F">
        <w:rPr>
          <w:rFonts w:ascii="Times New Roman" w:hAnsi="Times New Roman" w:cs="Times New Roman"/>
          <w:kern w:val="0"/>
          <w:szCs w:val="21"/>
        </w:rPr>
        <w:t>2019</w:t>
      </w:r>
      <w:r w:rsidRPr="006C286F">
        <w:rPr>
          <w:rFonts w:ascii="Times New Roman" w:hAnsi="Times New Roman" w:cs="Times New Roman"/>
          <w:kern w:val="0"/>
          <w:szCs w:val="21"/>
        </w:rPr>
        <w:t>年已纳入《化妆品安全技术规范》并在</w:t>
      </w:r>
      <w:r w:rsidRPr="006C286F">
        <w:rPr>
          <w:rFonts w:ascii="Times New Roman" w:hAnsi="Times New Roman" w:cs="Times New Roman"/>
          <w:kern w:val="0"/>
          <w:szCs w:val="21"/>
        </w:rPr>
        <w:t>2020</w:t>
      </w:r>
      <w:r w:rsidRPr="006C286F">
        <w:rPr>
          <w:rFonts w:ascii="Times New Roman" w:hAnsi="Times New Roman" w:cs="Times New Roman"/>
          <w:kern w:val="0"/>
          <w:szCs w:val="21"/>
        </w:rPr>
        <w:t>年开始实施。过敏原引起染毒部位回流淋巴结内淋巴细胞增殖，其增殖程度与过敏原的剂量和效力成比例。本研究起草的局部淋巴结试验</w:t>
      </w:r>
      <w:r w:rsidRPr="006C286F">
        <w:rPr>
          <w:rFonts w:ascii="Times New Roman" w:hAnsi="Times New Roman" w:cs="Times New Roman"/>
          <w:kern w:val="0"/>
          <w:szCs w:val="21"/>
        </w:rPr>
        <w:t>BrdU-FCM</w:t>
      </w:r>
      <w:r w:rsidRPr="006C286F">
        <w:rPr>
          <w:rFonts w:ascii="Times New Roman" w:hAnsi="Times New Roman" w:cs="Times New Roman"/>
          <w:kern w:val="0"/>
          <w:szCs w:val="21"/>
        </w:rPr>
        <w:t>法与</w:t>
      </w:r>
      <w:r w:rsidRPr="006C286F">
        <w:rPr>
          <w:rFonts w:ascii="Times New Roman" w:hAnsi="Times New Roman" w:cs="Times New Roman"/>
          <w:kern w:val="0"/>
          <w:szCs w:val="21"/>
        </w:rPr>
        <w:t>DA</w:t>
      </w:r>
      <w:r w:rsidRPr="006C286F">
        <w:rPr>
          <w:rFonts w:ascii="Times New Roman" w:hAnsi="Times New Roman" w:cs="Times New Roman"/>
          <w:kern w:val="0"/>
          <w:szCs w:val="21"/>
        </w:rPr>
        <w:t>法、</w:t>
      </w:r>
      <w:r w:rsidRPr="006C286F">
        <w:rPr>
          <w:rFonts w:ascii="Times New Roman" w:hAnsi="Times New Roman" w:cs="Times New Roman"/>
          <w:kern w:val="0"/>
          <w:szCs w:val="21"/>
        </w:rPr>
        <w:t>BrdU-ELISA</w:t>
      </w:r>
      <w:r w:rsidRPr="006C286F">
        <w:rPr>
          <w:rFonts w:ascii="Times New Roman" w:hAnsi="Times New Roman" w:cs="Times New Roman"/>
          <w:kern w:val="0"/>
          <w:szCs w:val="21"/>
        </w:rPr>
        <w:t>法均是通过检测小鼠淋巴结内淋巴细胞增殖的程度，来评价受试物的致敏性，但检测淋巴细胞增殖的方法不同。</w:t>
      </w:r>
      <w:r w:rsidRPr="006C286F">
        <w:rPr>
          <w:rFonts w:ascii="Times New Roman" w:hAnsi="Times New Roman" w:cs="Times New Roman"/>
          <w:kern w:val="0"/>
          <w:szCs w:val="21"/>
        </w:rPr>
        <w:t>BrdU-FCM</w:t>
      </w:r>
      <w:r w:rsidRPr="006C286F">
        <w:rPr>
          <w:rFonts w:ascii="Times New Roman" w:hAnsi="Times New Roman" w:cs="Times New Roman"/>
          <w:kern w:val="0"/>
          <w:szCs w:val="21"/>
        </w:rPr>
        <w:t>法与</w:t>
      </w:r>
      <w:r w:rsidRPr="006C286F">
        <w:rPr>
          <w:rFonts w:ascii="Times New Roman" w:hAnsi="Times New Roman" w:cs="Times New Roman"/>
          <w:kern w:val="0"/>
          <w:szCs w:val="21"/>
        </w:rPr>
        <w:t>BrdU-ELISA</w:t>
      </w:r>
      <w:r w:rsidRPr="006C286F">
        <w:rPr>
          <w:rFonts w:ascii="Times New Roman" w:hAnsi="Times New Roman" w:cs="Times New Roman"/>
          <w:kern w:val="0"/>
          <w:szCs w:val="21"/>
        </w:rPr>
        <w:t>法都是基于掺入</w:t>
      </w:r>
      <w:proofErr w:type="gramStart"/>
      <w:r w:rsidRPr="006C286F">
        <w:rPr>
          <w:rFonts w:ascii="Times New Roman" w:hAnsi="Times New Roman" w:cs="Times New Roman"/>
          <w:kern w:val="0"/>
          <w:szCs w:val="21"/>
        </w:rPr>
        <w:t>溴</w:t>
      </w:r>
      <w:proofErr w:type="gramEnd"/>
      <w:r w:rsidRPr="006C286F">
        <w:rPr>
          <w:rFonts w:ascii="Times New Roman" w:hAnsi="Times New Roman" w:cs="Times New Roman"/>
          <w:kern w:val="0"/>
          <w:szCs w:val="21"/>
        </w:rPr>
        <w:t>脱氧尿嘧啶核苷（</w:t>
      </w:r>
      <w:r w:rsidRPr="006C286F">
        <w:rPr>
          <w:rFonts w:ascii="Times New Roman" w:hAnsi="Times New Roman" w:cs="Times New Roman"/>
          <w:kern w:val="0"/>
          <w:szCs w:val="21"/>
        </w:rPr>
        <w:t>BrdU</w:t>
      </w:r>
      <w:r w:rsidRPr="006C286F">
        <w:rPr>
          <w:rFonts w:ascii="Times New Roman" w:hAnsi="Times New Roman" w:cs="Times New Roman"/>
          <w:kern w:val="0"/>
          <w:szCs w:val="21"/>
        </w:rPr>
        <w:t>）的</w:t>
      </w:r>
      <w:r w:rsidRPr="006C286F">
        <w:rPr>
          <w:rFonts w:ascii="Times New Roman" w:hAnsi="Times New Roman" w:cs="Times New Roman"/>
          <w:kern w:val="0"/>
          <w:szCs w:val="21"/>
        </w:rPr>
        <w:t>LLNA</w:t>
      </w:r>
      <w:r w:rsidRPr="006C286F">
        <w:rPr>
          <w:rFonts w:ascii="Times New Roman" w:hAnsi="Times New Roman" w:cs="Times New Roman"/>
          <w:kern w:val="0"/>
          <w:szCs w:val="21"/>
        </w:rPr>
        <w:t>试验方法，其试验目的、适用范围、试验的基本原则、实验动物、剂量与分组、受试物的给予方式、淋巴结的取材时间和部位均相同，不同的是淋巴细胞悬液的制备、淋巴细胞中</w:t>
      </w:r>
      <w:r w:rsidRPr="006C286F">
        <w:rPr>
          <w:rFonts w:ascii="Times New Roman" w:hAnsi="Times New Roman" w:cs="Times New Roman"/>
          <w:kern w:val="0"/>
          <w:szCs w:val="21"/>
        </w:rPr>
        <w:t>BrdU</w:t>
      </w:r>
      <w:r w:rsidRPr="006C286F">
        <w:rPr>
          <w:rFonts w:ascii="Times New Roman" w:hAnsi="Times New Roman" w:cs="Times New Roman"/>
          <w:kern w:val="0"/>
          <w:szCs w:val="21"/>
        </w:rPr>
        <w:t>含量的测定方法及数据处理、结果判定，具体的对比情况见表</w:t>
      </w:r>
      <w:r w:rsidRPr="006C286F">
        <w:rPr>
          <w:rFonts w:ascii="Times New Roman" w:hAnsi="Times New Roman" w:cs="Times New Roman"/>
          <w:kern w:val="0"/>
          <w:szCs w:val="21"/>
        </w:rPr>
        <w:t>1</w:t>
      </w:r>
      <w:r w:rsidRPr="006C286F">
        <w:rPr>
          <w:rFonts w:ascii="Times New Roman" w:hAnsi="Times New Roman" w:cs="Times New Roman"/>
          <w:kern w:val="0"/>
          <w:szCs w:val="21"/>
        </w:rPr>
        <w:t>。本试验方法同局部淋巴结试验</w:t>
      </w:r>
      <w:r w:rsidRPr="006C286F">
        <w:rPr>
          <w:rFonts w:ascii="Times New Roman" w:hAnsi="Times New Roman" w:cs="Times New Roman"/>
          <w:kern w:val="0"/>
          <w:szCs w:val="21"/>
        </w:rPr>
        <w:t>BrdU-ELISA</w:t>
      </w:r>
      <w:r w:rsidRPr="006C286F">
        <w:rPr>
          <w:rFonts w:ascii="Times New Roman" w:hAnsi="Times New Roman" w:cs="Times New Roman"/>
          <w:kern w:val="0"/>
          <w:szCs w:val="21"/>
        </w:rPr>
        <w:t>法一样，均是作为化妆品安全性评价中的替代方法用以补充化妆品原料的皮肤致敏性安全性检测。</w:t>
      </w:r>
    </w:p>
    <w:p w:rsidR="006C286F" w:rsidRPr="006C286F" w:rsidRDefault="006C286F" w:rsidP="006C286F">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Times New Roman" w:eastAsia="黑体" w:hAnsi="Times New Roman" w:cs="Times New Roman"/>
          <w:kern w:val="0"/>
          <w:szCs w:val="21"/>
        </w:rPr>
        <w:lastRenderedPageBreak/>
        <w:t>国际相关标准情况</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OECD</w:t>
      </w:r>
      <w:r w:rsidRPr="006C286F">
        <w:rPr>
          <w:rFonts w:ascii="Times New Roman" w:hAnsi="Times New Roman" w:cs="Times New Roman"/>
          <w:kern w:val="0"/>
          <w:szCs w:val="21"/>
        </w:rPr>
        <w:t>纳入标准的</w:t>
      </w:r>
      <w:r w:rsidRPr="006C286F">
        <w:rPr>
          <w:rFonts w:ascii="Times New Roman" w:hAnsi="Times New Roman" w:cs="Times New Roman"/>
          <w:kern w:val="0"/>
          <w:szCs w:val="21"/>
        </w:rPr>
        <w:t>LLNA</w:t>
      </w:r>
      <w:r w:rsidRPr="006C286F">
        <w:rPr>
          <w:rFonts w:ascii="Times New Roman" w:hAnsi="Times New Roman" w:cs="Times New Roman"/>
          <w:kern w:val="0"/>
          <w:szCs w:val="21"/>
        </w:rPr>
        <w:t>试验有四种方法检测淋巴细胞的增殖程度，包括放射性标记法（</w:t>
      </w:r>
      <w:r w:rsidRPr="006C286F">
        <w:rPr>
          <w:rFonts w:ascii="Times New Roman" w:hAnsi="Times New Roman" w:cs="Times New Roman"/>
          <w:kern w:val="0"/>
          <w:szCs w:val="21"/>
        </w:rPr>
        <w:t>No.TG429</w:t>
      </w:r>
      <w:r w:rsidRPr="006C286F">
        <w:rPr>
          <w:rFonts w:ascii="Times New Roman" w:hAnsi="Times New Roman" w:cs="Times New Roman"/>
          <w:kern w:val="0"/>
          <w:szCs w:val="21"/>
        </w:rPr>
        <w:t>）、</w:t>
      </w:r>
      <w:r w:rsidRPr="006C286F">
        <w:rPr>
          <w:rFonts w:ascii="Times New Roman" w:hAnsi="Times New Roman" w:cs="Times New Roman"/>
          <w:kern w:val="0"/>
          <w:szCs w:val="21"/>
        </w:rPr>
        <w:t>DA</w:t>
      </w:r>
      <w:r w:rsidRPr="006C286F">
        <w:rPr>
          <w:rFonts w:ascii="Times New Roman" w:hAnsi="Times New Roman" w:cs="Times New Roman"/>
          <w:kern w:val="0"/>
          <w:szCs w:val="21"/>
        </w:rPr>
        <w:t>法（</w:t>
      </w:r>
      <w:r w:rsidRPr="006C286F">
        <w:rPr>
          <w:rFonts w:ascii="Times New Roman" w:hAnsi="Times New Roman" w:cs="Times New Roman"/>
          <w:kern w:val="0"/>
          <w:szCs w:val="21"/>
        </w:rPr>
        <w:t>No.TG442A</w:t>
      </w:r>
      <w:r w:rsidRPr="006C286F">
        <w:rPr>
          <w:rFonts w:ascii="Times New Roman" w:hAnsi="Times New Roman" w:cs="Times New Roman"/>
          <w:kern w:val="0"/>
          <w:szCs w:val="21"/>
        </w:rPr>
        <w:t>）、</w:t>
      </w:r>
      <w:r w:rsidRPr="006C286F">
        <w:rPr>
          <w:rFonts w:ascii="Times New Roman" w:hAnsi="Times New Roman" w:cs="Times New Roman"/>
          <w:kern w:val="0"/>
          <w:szCs w:val="21"/>
        </w:rPr>
        <w:t>BrdU-ELISA</w:t>
      </w:r>
      <w:r w:rsidRPr="006C286F">
        <w:rPr>
          <w:rFonts w:ascii="Times New Roman" w:hAnsi="Times New Roman" w:cs="Times New Roman"/>
          <w:kern w:val="0"/>
          <w:szCs w:val="21"/>
        </w:rPr>
        <w:t>法（</w:t>
      </w:r>
      <w:r w:rsidRPr="006C286F">
        <w:rPr>
          <w:rFonts w:ascii="Times New Roman" w:hAnsi="Times New Roman" w:cs="Times New Roman"/>
          <w:kern w:val="0"/>
          <w:szCs w:val="21"/>
        </w:rPr>
        <w:t>No.TG442B</w:t>
      </w:r>
      <w:r w:rsidRPr="006C286F">
        <w:rPr>
          <w:rFonts w:ascii="Times New Roman" w:hAnsi="Times New Roman" w:cs="Times New Roman"/>
          <w:kern w:val="0"/>
          <w:szCs w:val="21"/>
        </w:rPr>
        <w:t>）和</w:t>
      </w:r>
      <w:r w:rsidRPr="006C286F">
        <w:rPr>
          <w:rFonts w:ascii="Times New Roman" w:hAnsi="Times New Roman" w:cs="Times New Roman"/>
          <w:kern w:val="0"/>
          <w:szCs w:val="21"/>
        </w:rPr>
        <w:t>BrdU-FCM</w:t>
      </w:r>
      <w:r w:rsidRPr="006C286F">
        <w:rPr>
          <w:rFonts w:ascii="Times New Roman" w:hAnsi="Times New Roman" w:cs="Times New Roman"/>
          <w:kern w:val="0"/>
          <w:szCs w:val="21"/>
        </w:rPr>
        <w:t>法（</w:t>
      </w:r>
      <w:r w:rsidRPr="006C286F">
        <w:rPr>
          <w:rFonts w:ascii="Times New Roman" w:hAnsi="Times New Roman" w:cs="Times New Roman"/>
          <w:kern w:val="0"/>
          <w:szCs w:val="21"/>
        </w:rPr>
        <w:t>No.TG442B</w:t>
      </w:r>
      <w:r w:rsidRPr="006C286F">
        <w:rPr>
          <w:rFonts w:ascii="Times New Roman" w:hAnsi="Times New Roman" w:cs="Times New Roman"/>
          <w:kern w:val="0"/>
          <w:szCs w:val="21"/>
        </w:rPr>
        <w:t>）。</w:t>
      </w:r>
      <w:r w:rsidRPr="006C286F">
        <w:rPr>
          <w:rFonts w:ascii="Times New Roman" w:hAnsi="Times New Roman" w:cs="Times New Roman"/>
          <w:kern w:val="0"/>
          <w:szCs w:val="21"/>
        </w:rPr>
        <w:t>BrdU-FCM</w:t>
      </w:r>
      <w:r w:rsidRPr="006C286F">
        <w:rPr>
          <w:rFonts w:ascii="Times New Roman" w:hAnsi="Times New Roman" w:cs="Times New Roman"/>
          <w:kern w:val="0"/>
          <w:szCs w:val="21"/>
        </w:rPr>
        <w:t>法作为一种非放射性的</w:t>
      </w:r>
      <w:r w:rsidRPr="006C286F">
        <w:rPr>
          <w:rFonts w:ascii="Times New Roman" w:hAnsi="Times New Roman" w:cs="Times New Roman"/>
          <w:kern w:val="0"/>
          <w:szCs w:val="21"/>
        </w:rPr>
        <w:t>LLNA</w:t>
      </w:r>
      <w:r w:rsidRPr="006C286F">
        <w:rPr>
          <w:rFonts w:ascii="Times New Roman" w:hAnsi="Times New Roman" w:cs="Times New Roman"/>
          <w:kern w:val="0"/>
          <w:szCs w:val="21"/>
        </w:rPr>
        <w:t>试验方法被替代方法多机构协调统筹委员会（</w:t>
      </w:r>
      <w:r w:rsidRPr="006C286F">
        <w:rPr>
          <w:rFonts w:ascii="Times New Roman" w:hAnsi="Times New Roman" w:cs="Times New Roman"/>
          <w:kern w:val="0"/>
          <w:szCs w:val="21"/>
        </w:rPr>
        <w:t>ICCVAM</w:t>
      </w:r>
      <w:r w:rsidRPr="006C286F">
        <w:rPr>
          <w:rFonts w:ascii="Times New Roman" w:hAnsi="Times New Roman" w:cs="Times New Roman"/>
          <w:kern w:val="0"/>
          <w:szCs w:val="21"/>
        </w:rPr>
        <w:t>）推荐为评估化学品皮肤致敏性检测方法并提交了方法草案，并且在国外多个实验室经过验证和评估，被监管部门接收认可用于评价受试物潜在的皮肤致敏性。本研究起草的局部淋巴结试验</w:t>
      </w:r>
      <w:r w:rsidRPr="006C286F">
        <w:rPr>
          <w:rFonts w:ascii="Times New Roman" w:hAnsi="Times New Roman" w:cs="Times New Roman"/>
          <w:kern w:val="0"/>
          <w:szCs w:val="21"/>
        </w:rPr>
        <w:t>BrdU-FCM</w:t>
      </w:r>
      <w:r w:rsidRPr="006C286F">
        <w:rPr>
          <w:rFonts w:ascii="Times New Roman" w:hAnsi="Times New Roman" w:cs="Times New Roman"/>
          <w:kern w:val="0"/>
          <w:szCs w:val="21"/>
        </w:rPr>
        <w:t>法是参照</w:t>
      </w:r>
      <w:r w:rsidRPr="006C286F">
        <w:rPr>
          <w:rFonts w:ascii="Times New Roman" w:hAnsi="Times New Roman" w:cs="Times New Roman"/>
          <w:kern w:val="0"/>
          <w:szCs w:val="21"/>
        </w:rPr>
        <w:t>OECD No.TG442B</w:t>
      </w:r>
      <w:r w:rsidRPr="006C286F">
        <w:rPr>
          <w:rFonts w:ascii="Times New Roman" w:hAnsi="Times New Roman" w:cs="Times New Roman"/>
          <w:kern w:val="0"/>
          <w:szCs w:val="21"/>
        </w:rPr>
        <w:t>中的流式细胞仪检测方法，结合国内化妆品检测实验室的试验条件建立的方法，具体的对比情况见表</w:t>
      </w:r>
      <w:r w:rsidRPr="006C286F">
        <w:rPr>
          <w:rFonts w:ascii="Times New Roman" w:hAnsi="Times New Roman" w:cs="Times New Roman"/>
          <w:kern w:val="0"/>
          <w:szCs w:val="21"/>
        </w:rPr>
        <w:t>1</w:t>
      </w:r>
      <w:r w:rsidRPr="006C286F">
        <w:rPr>
          <w:rFonts w:ascii="Times New Roman" w:hAnsi="Times New Roman" w:cs="Times New Roman"/>
          <w:kern w:val="0"/>
          <w:szCs w:val="21"/>
        </w:rPr>
        <w:t>。</w:t>
      </w:r>
    </w:p>
    <w:p w:rsidR="006C286F" w:rsidRPr="006C286F" w:rsidRDefault="006C286F" w:rsidP="006C286F">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Times New Roman" w:eastAsia="黑体" w:hAnsi="Times New Roman" w:cs="Times New Roman"/>
          <w:kern w:val="0"/>
          <w:szCs w:val="21"/>
        </w:rPr>
        <w:t>与《化妆品安全技术规范》和</w:t>
      </w:r>
      <w:r w:rsidRPr="006C286F">
        <w:rPr>
          <w:rFonts w:ascii="Times New Roman" w:eastAsia="黑体" w:hAnsi="Times New Roman" w:cs="Times New Roman"/>
          <w:kern w:val="0"/>
          <w:szCs w:val="21"/>
        </w:rPr>
        <w:t>OECD</w:t>
      </w:r>
      <w:r w:rsidRPr="006C286F">
        <w:rPr>
          <w:rFonts w:ascii="Times New Roman" w:eastAsia="黑体" w:hAnsi="Times New Roman" w:cs="Times New Roman"/>
          <w:kern w:val="0"/>
          <w:szCs w:val="21"/>
        </w:rPr>
        <w:t>相关方法的对比情况</w:t>
      </w:r>
    </w:p>
    <w:p w:rsidR="006C286F" w:rsidRPr="006C286F" w:rsidRDefault="00FA1B99" w:rsidP="006C286F">
      <w:pPr>
        <w:autoSpaceDE w:val="0"/>
        <w:autoSpaceDN w:val="0"/>
        <w:spacing w:line="300" w:lineRule="auto"/>
        <w:ind w:firstLineChars="200" w:firstLine="420"/>
        <w:rPr>
          <w:rFonts w:ascii="Times New Roman" w:hAnsi="Times New Roman" w:cs="Times New Roman"/>
          <w:kern w:val="0"/>
          <w:szCs w:val="21"/>
        </w:rPr>
      </w:pPr>
      <w:r>
        <w:rPr>
          <w:rFonts w:ascii="Times New Roman" w:hAnsi="Times New Roman" w:cs="Times New Roman" w:hint="eastAsia"/>
          <w:kern w:val="0"/>
          <w:szCs w:val="21"/>
        </w:rPr>
        <w:t>该方法</w:t>
      </w:r>
      <w:r w:rsidR="006C286F" w:rsidRPr="006C286F">
        <w:rPr>
          <w:rFonts w:ascii="Times New Roman" w:hAnsi="Times New Roman" w:cs="Times New Roman"/>
          <w:kern w:val="0"/>
          <w:szCs w:val="21"/>
        </w:rPr>
        <w:t>与</w:t>
      </w:r>
      <w:r w:rsidR="006C286F" w:rsidRPr="006C286F">
        <w:rPr>
          <w:rFonts w:ascii="Times New Roman" w:hAnsi="Times New Roman" w:cs="Times New Roman"/>
          <w:kern w:val="0"/>
          <w:szCs w:val="21"/>
        </w:rPr>
        <w:t>OECD TG442B BrdU-FCM</w:t>
      </w:r>
      <w:r w:rsidR="006C286F" w:rsidRPr="006C286F">
        <w:rPr>
          <w:rFonts w:ascii="Times New Roman" w:hAnsi="Times New Roman" w:cs="Times New Roman"/>
          <w:kern w:val="0"/>
          <w:szCs w:val="21"/>
        </w:rPr>
        <w:t>、《化妆品安全技术规范》中</w:t>
      </w:r>
      <w:r w:rsidR="006C286F" w:rsidRPr="006C286F">
        <w:rPr>
          <w:rFonts w:ascii="Times New Roman" w:hAnsi="Times New Roman" w:cs="Times New Roman"/>
          <w:kern w:val="0"/>
          <w:szCs w:val="21"/>
        </w:rPr>
        <w:t>LLNA</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BrdU-ELISA</w:t>
      </w:r>
      <w:r w:rsidR="006C286F" w:rsidRPr="006C286F">
        <w:rPr>
          <w:rFonts w:ascii="Times New Roman" w:hAnsi="Times New Roman" w:cs="Times New Roman"/>
          <w:kern w:val="0"/>
          <w:szCs w:val="21"/>
        </w:rPr>
        <w:t>的试验方法</w:t>
      </w:r>
      <w:r>
        <w:rPr>
          <w:rFonts w:ascii="Times New Roman" w:hAnsi="Times New Roman" w:cs="Times New Roman" w:hint="eastAsia"/>
          <w:kern w:val="0"/>
          <w:szCs w:val="21"/>
        </w:rPr>
        <w:t>进行了对比</w:t>
      </w:r>
      <w:r w:rsidR="006C286F" w:rsidRPr="006C286F">
        <w:rPr>
          <w:rFonts w:ascii="Times New Roman" w:hAnsi="Times New Roman" w:cs="Times New Roman"/>
          <w:kern w:val="0"/>
          <w:szCs w:val="21"/>
        </w:rPr>
        <w:t>。与</w:t>
      </w:r>
      <w:r w:rsidR="006C286F" w:rsidRPr="006C286F">
        <w:rPr>
          <w:rFonts w:ascii="Times New Roman" w:hAnsi="Times New Roman" w:cs="Times New Roman"/>
          <w:kern w:val="0"/>
          <w:szCs w:val="21"/>
        </w:rPr>
        <w:t>OECD TG442B</w:t>
      </w:r>
      <w:r w:rsidR="006C286F" w:rsidRPr="006C286F">
        <w:rPr>
          <w:rFonts w:ascii="Times New Roman" w:hAnsi="Times New Roman" w:cs="Times New Roman"/>
          <w:kern w:val="0"/>
          <w:szCs w:val="21"/>
        </w:rPr>
        <w:t>比较，不同之处为：（</w:t>
      </w:r>
      <w:r w:rsidR="006C286F" w:rsidRPr="006C286F">
        <w:rPr>
          <w:rFonts w:ascii="Times New Roman" w:hAnsi="Times New Roman" w:cs="Times New Roman"/>
          <w:kern w:val="0"/>
          <w:szCs w:val="21"/>
        </w:rPr>
        <w:t>1</w:t>
      </w:r>
      <w:r w:rsidR="006C286F" w:rsidRPr="006C286F">
        <w:rPr>
          <w:rFonts w:ascii="Times New Roman" w:hAnsi="Times New Roman" w:cs="Times New Roman"/>
          <w:kern w:val="0"/>
          <w:szCs w:val="21"/>
        </w:rPr>
        <w:t>）细化了实验动物的要求，规定了实验动物的性别、周龄、体重的要求；（</w:t>
      </w:r>
      <w:r w:rsidR="006C286F" w:rsidRPr="006C286F">
        <w:rPr>
          <w:rFonts w:ascii="Times New Roman" w:hAnsi="Times New Roman" w:cs="Times New Roman"/>
          <w:kern w:val="0"/>
          <w:szCs w:val="21"/>
        </w:rPr>
        <w:t>2</w:t>
      </w:r>
      <w:r w:rsidR="006C286F" w:rsidRPr="006C286F">
        <w:rPr>
          <w:rFonts w:ascii="Times New Roman" w:hAnsi="Times New Roman" w:cs="Times New Roman"/>
          <w:kern w:val="0"/>
          <w:szCs w:val="21"/>
        </w:rPr>
        <w:t>）规定了饲养环境的条件与国家规定的一致（</w:t>
      </w:r>
      <w:r w:rsidR="006C286F" w:rsidRPr="006C286F">
        <w:rPr>
          <w:rFonts w:ascii="Times New Roman" w:hAnsi="Times New Roman" w:cs="Times New Roman"/>
          <w:kern w:val="0"/>
          <w:szCs w:val="21"/>
        </w:rPr>
        <w:t>GB14925</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3</w:t>
      </w:r>
      <w:r w:rsidR="006C286F" w:rsidRPr="006C286F">
        <w:rPr>
          <w:rFonts w:ascii="Times New Roman" w:hAnsi="Times New Roman" w:cs="Times New Roman"/>
          <w:kern w:val="0"/>
          <w:szCs w:val="21"/>
        </w:rPr>
        <w:t>）增加了</w:t>
      </w:r>
      <w:r w:rsidR="006C286F" w:rsidRPr="006C286F">
        <w:rPr>
          <w:rFonts w:ascii="Times New Roman" w:hAnsi="Times New Roman" w:cs="Times New Roman"/>
          <w:kern w:val="0"/>
          <w:szCs w:val="21"/>
        </w:rPr>
        <w:t>BrdU</w:t>
      </w:r>
      <w:r w:rsidR="006C286F" w:rsidRPr="006C286F">
        <w:rPr>
          <w:rFonts w:ascii="Times New Roman" w:hAnsi="Times New Roman" w:cs="Times New Roman"/>
          <w:kern w:val="0"/>
          <w:szCs w:val="21"/>
        </w:rPr>
        <w:t>的配制方法（</w:t>
      </w:r>
      <w:r w:rsidR="006C286F" w:rsidRPr="006C286F">
        <w:rPr>
          <w:rFonts w:ascii="Times New Roman" w:hAnsi="Times New Roman" w:cs="Times New Roman"/>
          <w:kern w:val="0"/>
          <w:szCs w:val="21"/>
        </w:rPr>
        <w:t>20mg/mL</w:t>
      </w:r>
      <w:r w:rsidR="006C286F" w:rsidRPr="006C286F">
        <w:rPr>
          <w:rFonts w:ascii="Times New Roman" w:hAnsi="Times New Roman" w:cs="Times New Roman"/>
          <w:kern w:val="0"/>
          <w:szCs w:val="21"/>
        </w:rPr>
        <w:t>，无菌生理盐水配制，现用现配或提前配好置于</w:t>
      </w:r>
      <w:r w:rsidR="006C286F" w:rsidRPr="006C286F">
        <w:rPr>
          <w:rFonts w:ascii="Times New Roman" w:hAnsi="Times New Roman" w:cs="Times New Roman"/>
          <w:kern w:val="0"/>
          <w:szCs w:val="21"/>
        </w:rPr>
        <w:t>-20</w:t>
      </w:r>
      <w:r w:rsidR="006C286F" w:rsidRPr="006C286F">
        <w:rPr>
          <w:rFonts w:ascii="宋体" w:eastAsia="宋体" w:hAnsi="宋体" w:cs="宋体" w:hint="eastAsia"/>
          <w:kern w:val="0"/>
          <w:szCs w:val="21"/>
        </w:rPr>
        <w:t>℃</w:t>
      </w:r>
      <w:r w:rsidR="006C286F" w:rsidRPr="006C286F">
        <w:rPr>
          <w:rFonts w:ascii="Times New Roman" w:hAnsi="Times New Roman" w:cs="Times New Roman"/>
          <w:kern w:val="0"/>
          <w:szCs w:val="21"/>
        </w:rPr>
        <w:t>，避光保存）；（</w:t>
      </w:r>
      <w:r w:rsidR="006C286F" w:rsidRPr="006C286F">
        <w:rPr>
          <w:rFonts w:ascii="Times New Roman" w:hAnsi="Times New Roman" w:cs="Times New Roman"/>
          <w:kern w:val="0"/>
          <w:szCs w:val="21"/>
        </w:rPr>
        <w:t>4</w:t>
      </w:r>
      <w:r w:rsidR="006C286F" w:rsidRPr="006C286F">
        <w:rPr>
          <w:rFonts w:ascii="Times New Roman" w:hAnsi="Times New Roman" w:cs="Times New Roman"/>
          <w:kern w:val="0"/>
          <w:szCs w:val="21"/>
        </w:rPr>
        <w:t>）增加了淋巴结取材部位的描述并附解剖位置的图谱；（</w:t>
      </w:r>
      <w:r w:rsidR="006C286F" w:rsidRPr="006C286F">
        <w:rPr>
          <w:rFonts w:ascii="Times New Roman" w:hAnsi="Times New Roman" w:cs="Times New Roman"/>
          <w:kern w:val="0"/>
          <w:szCs w:val="21"/>
        </w:rPr>
        <w:t>5</w:t>
      </w:r>
      <w:r w:rsidR="006C286F" w:rsidRPr="006C286F">
        <w:rPr>
          <w:rFonts w:ascii="Times New Roman" w:hAnsi="Times New Roman" w:cs="Times New Roman"/>
          <w:kern w:val="0"/>
          <w:szCs w:val="21"/>
        </w:rPr>
        <w:t>）淋巴细胞制备的过程中，细胞重悬于</w:t>
      </w:r>
      <w:r w:rsidR="006C286F" w:rsidRPr="006C286F">
        <w:rPr>
          <w:rFonts w:ascii="Times New Roman" w:hAnsi="Times New Roman" w:cs="Times New Roman"/>
          <w:kern w:val="0"/>
          <w:szCs w:val="21"/>
        </w:rPr>
        <w:t>1mlPBS</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6</w:t>
      </w:r>
      <w:r w:rsidR="006C286F" w:rsidRPr="006C286F">
        <w:rPr>
          <w:rFonts w:ascii="Times New Roman" w:hAnsi="Times New Roman" w:cs="Times New Roman"/>
          <w:kern w:val="0"/>
          <w:szCs w:val="21"/>
        </w:rPr>
        <w:t>）增加了流式细胞仪的参数要求；（</w:t>
      </w:r>
      <w:r w:rsidR="006C286F" w:rsidRPr="006C286F">
        <w:rPr>
          <w:rFonts w:ascii="Times New Roman" w:hAnsi="Times New Roman" w:cs="Times New Roman"/>
          <w:kern w:val="0"/>
          <w:szCs w:val="21"/>
        </w:rPr>
        <w:t>7</w:t>
      </w:r>
      <w:r w:rsidR="006C286F" w:rsidRPr="006C286F">
        <w:rPr>
          <w:rFonts w:ascii="Times New Roman" w:hAnsi="Times New Roman" w:cs="Times New Roman"/>
          <w:kern w:val="0"/>
          <w:szCs w:val="21"/>
        </w:rPr>
        <w:t>）数据处理</w:t>
      </w:r>
      <w:r w:rsidR="006C286F" w:rsidRPr="006C286F">
        <w:rPr>
          <w:rFonts w:ascii="Times New Roman" w:hAnsi="Times New Roman" w:cs="Times New Roman"/>
          <w:kern w:val="0"/>
          <w:szCs w:val="21"/>
        </w:rPr>
        <w:t>SI</w:t>
      </w:r>
      <w:r w:rsidR="006C286F" w:rsidRPr="006C286F">
        <w:rPr>
          <w:rFonts w:ascii="Times New Roman" w:hAnsi="Times New Roman" w:cs="Times New Roman"/>
          <w:kern w:val="0"/>
          <w:szCs w:val="21"/>
        </w:rPr>
        <w:t>的计算公式中受试物或阳性对照组</w:t>
      </w:r>
      <w:r w:rsidR="006C286F" w:rsidRPr="006C286F">
        <w:rPr>
          <w:rFonts w:ascii="Times New Roman" w:hAnsi="Times New Roman" w:cs="Times New Roman"/>
          <w:kern w:val="0"/>
          <w:szCs w:val="21"/>
        </w:rPr>
        <w:t>Brdu</w:t>
      </w:r>
      <w:r w:rsidR="006C286F" w:rsidRPr="006C286F">
        <w:rPr>
          <w:rFonts w:ascii="Times New Roman" w:hAnsi="Times New Roman" w:cs="Times New Roman"/>
          <w:kern w:val="0"/>
          <w:szCs w:val="21"/>
        </w:rPr>
        <w:t>标记细胞数以每组动物的均值表示；（</w:t>
      </w:r>
      <w:r w:rsidR="006C286F" w:rsidRPr="006C286F">
        <w:rPr>
          <w:rFonts w:ascii="Times New Roman" w:hAnsi="Times New Roman" w:cs="Times New Roman"/>
          <w:kern w:val="0"/>
          <w:szCs w:val="21"/>
        </w:rPr>
        <w:t>8</w:t>
      </w:r>
      <w:r w:rsidR="006C286F" w:rsidRPr="006C286F">
        <w:rPr>
          <w:rFonts w:ascii="Times New Roman" w:hAnsi="Times New Roman" w:cs="Times New Roman"/>
          <w:kern w:val="0"/>
          <w:szCs w:val="21"/>
        </w:rPr>
        <w:t>）数据处理增加了</w:t>
      </w:r>
      <w:r w:rsidR="006C286F" w:rsidRPr="006C286F">
        <w:rPr>
          <w:rFonts w:ascii="Times New Roman" w:hAnsi="Times New Roman" w:cs="Times New Roman"/>
          <w:kern w:val="0"/>
          <w:szCs w:val="21"/>
        </w:rPr>
        <w:t>EC2.7</w:t>
      </w:r>
      <w:r w:rsidR="006C286F" w:rsidRPr="006C286F">
        <w:rPr>
          <w:rFonts w:ascii="Times New Roman" w:hAnsi="Times New Roman" w:cs="Times New Roman"/>
          <w:kern w:val="0"/>
          <w:szCs w:val="21"/>
        </w:rPr>
        <w:t>的计算方法；（</w:t>
      </w:r>
      <w:r w:rsidR="006C286F" w:rsidRPr="006C286F">
        <w:rPr>
          <w:rFonts w:ascii="Times New Roman" w:hAnsi="Times New Roman" w:cs="Times New Roman"/>
          <w:kern w:val="0"/>
          <w:szCs w:val="21"/>
        </w:rPr>
        <w:t>9</w:t>
      </w:r>
      <w:r w:rsidR="006C286F" w:rsidRPr="006C286F">
        <w:rPr>
          <w:rFonts w:ascii="Times New Roman" w:hAnsi="Times New Roman" w:cs="Times New Roman"/>
          <w:kern w:val="0"/>
          <w:szCs w:val="21"/>
        </w:rPr>
        <w:t>）增加了结果判定方法和致敏强度分级，根据</w:t>
      </w:r>
      <w:r w:rsidR="006C286F" w:rsidRPr="006C286F">
        <w:rPr>
          <w:rFonts w:ascii="Times New Roman" w:hAnsi="Times New Roman" w:cs="Times New Roman"/>
          <w:kern w:val="0"/>
          <w:szCs w:val="21"/>
        </w:rPr>
        <w:t>EC2.7</w:t>
      </w:r>
      <w:r w:rsidR="006C286F" w:rsidRPr="006C286F">
        <w:rPr>
          <w:rFonts w:ascii="Times New Roman" w:hAnsi="Times New Roman" w:cs="Times New Roman"/>
          <w:kern w:val="0"/>
          <w:szCs w:val="21"/>
        </w:rPr>
        <w:t>值的范围判定受试物的皮肤致敏强度。其中（</w:t>
      </w:r>
      <w:r w:rsidR="006C286F" w:rsidRPr="006C286F">
        <w:rPr>
          <w:rFonts w:ascii="Times New Roman" w:hAnsi="Times New Roman" w:cs="Times New Roman"/>
          <w:kern w:val="0"/>
          <w:szCs w:val="21"/>
        </w:rPr>
        <w:t>1</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2</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3</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7</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8</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9</w:t>
      </w:r>
      <w:r w:rsidR="006C286F" w:rsidRPr="006C286F">
        <w:rPr>
          <w:rFonts w:ascii="Times New Roman" w:hAnsi="Times New Roman" w:cs="Times New Roman"/>
          <w:kern w:val="0"/>
          <w:szCs w:val="21"/>
        </w:rPr>
        <w:t>）是参照《化妆品安全技术规范》中</w:t>
      </w:r>
      <w:r w:rsidR="006C286F" w:rsidRPr="006C286F">
        <w:rPr>
          <w:rFonts w:ascii="Times New Roman" w:hAnsi="Times New Roman" w:cs="Times New Roman"/>
          <w:kern w:val="0"/>
          <w:szCs w:val="21"/>
        </w:rPr>
        <w:t>LLNA</w:t>
      </w:r>
      <w:r w:rsidR="006C286F" w:rsidRPr="006C286F">
        <w:rPr>
          <w:rFonts w:ascii="Times New Roman" w:hAnsi="Times New Roman" w:cs="Times New Roman"/>
          <w:kern w:val="0"/>
          <w:szCs w:val="21"/>
        </w:rPr>
        <w:t>：</w:t>
      </w:r>
      <w:r w:rsidR="006C286F" w:rsidRPr="006C286F">
        <w:rPr>
          <w:rFonts w:ascii="Times New Roman" w:hAnsi="Times New Roman" w:cs="Times New Roman"/>
          <w:kern w:val="0"/>
          <w:szCs w:val="21"/>
        </w:rPr>
        <w:t>BrdU-ELISA</w:t>
      </w:r>
      <w:r w:rsidR="006C286F" w:rsidRPr="006C286F">
        <w:rPr>
          <w:rFonts w:ascii="Times New Roman" w:hAnsi="Times New Roman" w:cs="Times New Roman"/>
          <w:kern w:val="0"/>
          <w:szCs w:val="21"/>
        </w:rPr>
        <w:t>的试验方法。</w:t>
      </w:r>
    </w:p>
    <w:p w:rsidR="00510275" w:rsidRDefault="006C286F" w:rsidP="00510275">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动物试验前准备、可靠性检查、试验方法（包括动物与分组、受试物配制、溶剂的选择、剂量水平、试验步骤、细胞增殖测定方法（流式细胞仪测定法））与</w:t>
      </w:r>
      <w:r w:rsidRPr="006C286F">
        <w:rPr>
          <w:rFonts w:ascii="Times New Roman" w:hAnsi="Times New Roman" w:cs="Times New Roman"/>
          <w:kern w:val="0"/>
          <w:szCs w:val="21"/>
        </w:rPr>
        <w:t>OECD TG442B</w:t>
      </w:r>
      <w:r w:rsidRPr="006C286F">
        <w:rPr>
          <w:rFonts w:ascii="Times New Roman" w:hAnsi="Times New Roman" w:cs="Times New Roman"/>
          <w:kern w:val="0"/>
          <w:szCs w:val="21"/>
        </w:rPr>
        <w:t>中的方法步骤无差别。</w:t>
      </w:r>
    </w:p>
    <w:p w:rsidR="00510275" w:rsidRPr="00510275" w:rsidRDefault="00510275" w:rsidP="00510275">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510275">
        <w:rPr>
          <w:rFonts w:ascii="黑体" w:eastAsia="黑体" w:hAnsi="黑体" w:cs="Times New Roman"/>
          <w:kern w:val="0"/>
          <w:szCs w:val="21"/>
        </w:rPr>
        <w:t>实验室验证情况</w:t>
      </w:r>
    </w:p>
    <w:p w:rsidR="00510275" w:rsidRPr="00510275" w:rsidRDefault="00510275" w:rsidP="00510275">
      <w:pPr>
        <w:autoSpaceDE w:val="0"/>
        <w:autoSpaceDN w:val="0"/>
        <w:spacing w:beforeLines="50" w:before="156" w:afterLines="50" w:after="156" w:line="300" w:lineRule="auto"/>
        <w:rPr>
          <w:rFonts w:ascii="Times New Roman" w:hAnsi="Times New Roman" w:cs="Times New Roman"/>
          <w:kern w:val="0"/>
          <w:szCs w:val="21"/>
        </w:rPr>
      </w:pPr>
      <w:r w:rsidRPr="00510275">
        <w:rPr>
          <w:rFonts w:ascii="Times New Roman" w:hAnsi="Times New Roman" w:cs="Times New Roman" w:hint="eastAsia"/>
          <w:kern w:val="0"/>
          <w:szCs w:val="21"/>
        </w:rPr>
        <w:t>（一）</w:t>
      </w:r>
      <w:r>
        <w:rPr>
          <w:rFonts w:ascii="Times New Roman" w:hAnsi="Times New Roman" w:cs="Times New Roman"/>
          <w:kern w:val="0"/>
          <w:szCs w:val="21"/>
        </w:rPr>
        <w:t>实验室内验证</w:t>
      </w:r>
    </w:p>
    <w:p w:rsidR="00510275" w:rsidRPr="00510275" w:rsidRDefault="00510275" w:rsidP="00510275">
      <w:pPr>
        <w:autoSpaceDE w:val="0"/>
        <w:autoSpaceDN w:val="0"/>
        <w:spacing w:line="300" w:lineRule="auto"/>
        <w:ind w:firstLineChars="200" w:firstLine="420"/>
        <w:rPr>
          <w:rFonts w:ascii="Times New Roman" w:hAnsi="Times New Roman" w:cs="Times New Roman"/>
          <w:kern w:val="0"/>
          <w:szCs w:val="21"/>
        </w:rPr>
      </w:pPr>
      <w:r w:rsidRPr="00510275">
        <w:rPr>
          <w:rFonts w:ascii="Times New Roman" w:hAnsi="Times New Roman" w:cs="Times New Roman" w:hint="eastAsia"/>
          <w:kern w:val="0"/>
          <w:szCs w:val="21"/>
        </w:rPr>
        <w:t>以</w:t>
      </w:r>
      <w:r w:rsidRPr="00510275">
        <w:rPr>
          <w:rFonts w:ascii="Times New Roman" w:hAnsi="Times New Roman" w:cs="Times New Roman" w:hint="eastAsia"/>
          <w:kern w:val="0"/>
          <w:szCs w:val="21"/>
        </w:rPr>
        <w:t>HCA</w:t>
      </w:r>
      <w:r w:rsidRPr="00510275">
        <w:rPr>
          <w:rFonts w:ascii="Times New Roman" w:hAnsi="Times New Roman" w:cs="Times New Roman" w:hint="eastAsia"/>
          <w:kern w:val="0"/>
          <w:szCs w:val="21"/>
        </w:rPr>
        <w:t>作为参考阳性物质，浓度设</w:t>
      </w:r>
      <w:r w:rsidRPr="00510275">
        <w:rPr>
          <w:rFonts w:ascii="Times New Roman" w:hAnsi="Times New Roman" w:cs="Times New Roman" w:hint="eastAsia"/>
          <w:kern w:val="0"/>
          <w:szCs w:val="21"/>
        </w:rPr>
        <w:t>25%</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5%</w:t>
      </w:r>
      <w:r w:rsidRPr="00510275">
        <w:rPr>
          <w:rFonts w:ascii="Times New Roman" w:hAnsi="Times New Roman" w:cs="Times New Roman" w:hint="eastAsia"/>
          <w:kern w:val="0"/>
          <w:szCs w:val="21"/>
        </w:rPr>
        <w:t>，完成</w:t>
      </w:r>
      <w:r w:rsidRPr="00510275">
        <w:rPr>
          <w:rFonts w:ascii="Times New Roman" w:hAnsi="Times New Roman" w:cs="Times New Roman" w:hint="eastAsia"/>
          <w:kern w:val="0"/>
          <w:szCs w:val="21"/>
        </w:rPr>
        <w:t>4</w:t>
      </w:r>
      <w:r w:rsidRPr="00510275">
        <w:rPr>
          <w:rFonts w:ascii="Times New Roman" w:hAnsi="Times New Roman" w:cs="Times New Roman" w:hint="eastAsia"/>
          <w:kern w:val="0"/>
          <w:szCs w:val="21"/>
        </w:rPr>
        <w:t>次</w:t>
      </w:r>
      <w:r w:rsidRPr="00510275">
        <w:rPr>
          <w:rFonts w:ascii="Times New Roman" w:hAnsi="Times New Roman" w:cs="Times New Roman" w:hint="eastAsia"/>
          <w:kern w:val="0"/>
          <w:szCs w:val="21"/>
        </w:rPr>
        <w:t>LLNA-FCM</w:t>
      </w:r>
      <w:r w:rsidRPr="00510275">
        <w:rPr>
          <w:rFonts w:ascii="Times New Roman" w:hAnsi="Times New Roman" w:cs="Times New Roman" w:hint="eastAsia"/>
          <w:kern w:val="0"/>
          <w:szCs w:val="21"/>
        </w:rPr>
        <w:t>试验的实验室内验证，</w:t>
      </w:r>
      <w:r w:rsidRPr="00510275">
        <w:rPr>
          <w:rFonts w:ascii="Times New Roman" w:hAnsi="Times New Roman" w:cs="Times New Roman" w:hint="eastAsia"/>
          <w:kern w:val="0"/>
          <w:szCs w:val="21"/>
        </w:rPr>
        <w:t>EC2.7</w:t>
      </w:r>
      <w:r w:rsidRPr="00510275">
        <w:rPr>
          <w:rFonts w:ascii="Times New Roman" w:hAnsi="Times New Roman" w:cs="Times New Roman" w:hint="eastAsia"/>
          <w:kern w:val="0"/>
          <w:szCs w:val="21"/>
        </w:rPr>
        <w:t>分别为</w:t>
      </w:r>
      <w:r w:rsidRPr="00510275">
        <w:rPr>
          <w:rFonts w:ascii="Times New Roman" w:hAnsi="Times New Roman" w:cs="Times New Roman" w:hint="eastAsia"/>
          <w:kern w:val="0"/>
          <w:szCs w:val="21"/>
        </w:rPr>
        <w:t>18.1%</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13.2%</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10.6%</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10.5%</w:t>
      </w:r>
      <w:r w:rsidRPr="00510275">
        <w:rPr>
          <w:rFonts w:ascii="Times New Roman" w:hAnsi="Times New Roman" w:cs="Times New Roman" w:hint="eastAsia"/>
          <w:kern w:val="0"/>
          <w:szCs w:val="21"/>
        </w:rPr>
        <w:t>，结果基本一致；且均在</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中规定的平均</w:t>
      </w:r>
      <w:r w:rsidRPr="00510275">
        <w:rPr>
          <w:rFonts w:ascii="Times New Roman" w:hAnsi="Times New Roman" w:cs="Times New Roman" w:hint="eastAsia"/>
          <w:kern w:val="0"/>
          <w:szCs w:val="21"/>
        </w:rPr>
        <w:t>EC3</w:t>
      </w:r>
      <w:r w:rsidRPr="00510275">
        <w:rPr>
          <w:rFonts w:ascii="Times New Roman" w:hAnsi="Times New Roman" w:cs="Times New Roman" w:hint="eastAsia"/>
          <w:kern w:val="0"/>
          <w:szCs w:val="21"/>
        </w:rPr>
        <w:t>值（</w:t>
      </w:r>
      <w:r w:rsidRPr="00510275">
        <w:rPr>
          <w:rFonts w:ascii="Times New Roman" w:hAnsi="Times New Roman" w:cs="Times New Roman" w:hint="eastAsia"/>
          <w:kern w:val="0"/>
          <w:szCs w:val="21"/>
        </w:rPr>
        <w:t>10%</w:t>
      </w:r>
      <w:r w:rsidRPr="00510275">
        <w:rPr>
          <w:rFonts w:ascii="Times New Roman" w:hAnsi="Times New Roman" w:cs="Times New Roman" w:hint="eastAsia"/>
          <w:kern w:val="0"/>
          <w:szCs w:val="21"/>
        </w:rPr>
        <w:t>）的</w:t>
      </w:r>
      <w:r w:rsidRPr="00510275">
        <w:rPr>
          <w:rFonts w:ascii="Times New Roman" w:hAnsi="Times New Roman" w:cs="Times New Roman" w:hint="eastAsia"/>
          <w:kern w:val="0"/>
          <w:szCs w:val="21"/>
        </w:rPr>
        <w:t>0.5</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2.0</w:t>
      </w:r>
      <w:r w:rsidRPr="00510275">
        <w:rPr>
          <w:rFonts w:ascii="Times New Roman" w:hAnsi="Times New Roman" w:cs="Times New Roman" w:hint="eastAsia"/>
          <w:kern w:val="0"/>
          <w:szCs w:val="21"/>
        </w:rPr>
        <w:t>倍范围内。认为</w:t>
      </w:r>
      <w:proofErr w:type="spellStart"/>
      <w:r w:rsidRPr="00510275">
        <w:rPr>
          <w:rFonts w:ascii="Times New Roman" w:hAnsi="Times New Roman" w:cs="Times New Roman" w:hint="eastAsia"/>
          <w:kern w:val="0"/>
          <w:szCs w:val="21"/>
        </w:rPr>
        <w:t>BrdU</w:t>
      </w:r>
      <w:proofErr w:type="spellEnd"/>
      <w:r w:rsidRPr="00510275">
        <w:rPr>
          <w:rFonts w:ascii="Times New Roman" w:hAnsi="Times New Roman" w:cs="Times New Roman" w:hint="eastAsia"/>
          <w:kern w:val="0"/>
          <w:szCs w:val="21"/>
        </w:rPr>
        <w:t>-FCM</w:t>
      </w:r>
      <w:r w:rsidRPr="00510275">
        <w:rPr>
          <w:rFonts w:ascii="Times New Roman" w:hAnsi="Times New Roman" w:cs="Times New Roman" w:hint="eastAsia"/>
          <w:kern w:val="0"/>
          <w:szCs w:val="21"/>
        </w:rPr>
        <w:t>方法检测皮肤致敏性的结果在本实验室内可以重复。</w:t>
      </w:r>
    </w:p>
    <w:p w:rsidR="00510275" w:rsidRDefault="00510275" w:rsidP="00510275">
      <w:pPr>
        <w:autoSpaceDE w:val="0"/>
        <w:autoSpaceDN w:val="0"/>
        <w:spacing w:line="300" w:lineRule="auto"/>
        <w:ind w:firstLineChars="200" w:firstLine="420"/>
        <w:rPr>
          <w:rFonts w:ascii="Times New Roman" w:hAnsi="Times New Roman" w:cs="Times New Roman"/>
          <w:kern w:val="0"/>
          <w:szCs w:val="21"/>
        </w:rPr>
      </w:pPr>
      <w:r w:rsidRPr="00510275">
        <w:rPr>
          <w:rFonts w:ascii="Times New Roman" w:hAnsi="Times New Roman" w:cs="Times New Roman" w:hint="eastAsia"/>
          <w:kern w:val="0"/>
          <w:szCs w:val="21"/>
        </w:rPr>
        <w:t>对</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附录</w:t>
      </w:r>
      <w:r w:rsidRPr="00510275">
        <w:rPr>
          <w:rFonts w:ascii="Times New Roman" w:hAnsi="Times New Roman" w:cs="Times New Roman" w:hint="eastAsia"/>
          <w:kern w:val="0"/>
          <w:szCs w:val="21"/>
        </w:rPr>
        <w:t>1</w:t>
      </w:r>
      <w:r w:rsidRPr="00510275">
        <w:rPr>
          <w:rFonts w:ascii="Times New Roman" w:hAnsi="Times New Roman" w:cs="Times New Roman" w:hint="eastAsia"/>
          <w:kern w:val="0"/>
          <w:szCs w:val="21"/>
        </w:rPr>
        <w:t>中的</w:t>
      </w:r>
      <w:r w:rsidRPr="00510275">
        <w:rPr>
          <w:rFonts w:ascii="Times New Roman" w:hAnsi="Times New Roman" w:cs="Times New Roman" w:hint="eastAsia"/>
          <w:kern w:val="0"/>
          <w:szCs w:val="21"/>
        </w:rPr>
        <w:t>18</w:t>
      </w:r>
      <w:r w:rsidRPr="00510275">
        <w:rPr>
          <w:rFonts w:ascii="Times New Roman" w:hAnsi="Times New Roman" w:cs="Times New Roman" w:hint="eastAsia"/>
          <w:kern w:val="0"/>
          <w:szCs w:val="21"/>
        </w:rPr>
        <w:t>种参考物质，在本实验室内进行皮肤致敏性检测的实验室内验证，结果显示：阳性预测率为</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，阴性预测率为</w:t>
      </w:r>
      <w:r w:rsidRPr="00510275">
        <w:rPr>
          <w:rFonts w:ascii="Times New Roman" w:hAnsi="Times New Roman" w:cs="Times New Roman" w:hint="eastAsia"/>
          <w:kern w:val="0"/>
          <w:szCs w:val="21"/>
        </w:rPr>
        <w:t>83%</w:t>
      </w:r>
      <w:r w:rsidRPr="00510275">
        <w:rPr>
          <w:rFonts w:ascii="Times New Roman" w:hAnsi="Times New Roman" w:cs="Times New Roman" w:hint="eastAsia"/>
          <w:kern w:val="0"/>
          <w:szCs w:val="21"/>
        </w:rPr>
        <w:t>，假阳性率为</w:t>
      </w:r>
      <w:r w:rsidRPr="00510275">
        <w:rPr>
          <w:rFonts w:ascii="Times New Roman" w:hAnsi="Times New Roman" w:cs="Times New Roman" w:hint="eastAsia"/>
          <w:kern w:val="0"/>
          <w:szCs w:val="21"/>
        </w:rPr>
        <w:t>0%</w:t>
      </w:r>
      <w:r w:rsidRPr="00510275">
        <w:rPr>
          <w:rFonts w:ascii="Times New Roman" w:hAnsi="Times New Roman" w:cs="Times New Roman" w:hint="eastAsia"/>
          <w:kern w:val="0"/>
          <w:szCs w:val="21"/>
        </w:rPr>
        <w:t>，假阴性率为</w:t>
      </w:r>
      <w:r w:rsidRPr="00510275">
        <w:rPr>
          <w:rFonts w:ascii="Times New Roman" w:hAnsi="Times New Roman" w:cs="Times New Roman" w:hint="eastAsia"/>
          <w:kern w:val="0"/>
          <w:szCs w:val="21"/>
        </w:rPr>
        <w:t>17%</w:t>
      </w:r>
      <w:r w:rsidRPr="00510275">
        <w:rPr>
          <w:rFonts w:ascii="Times New Roman" w:hAnsi="Times New Roman" w:cs="Times New Roman" w:hint="eastAsia"/>
          <w:kern w:val="0"/>
          <w:szCs w:val="21"/>
        </w:rPr>
        <w:t>，灵敏度为</w:t>
      </w:r>
      <w:r w:rsidRPr="00510275">
        <w:rPr>
          <w:rFonts w:ascii="Times New Roman" w:hAnsi="Times New Roman" w:cs="Times New Roman" w:hint="eastAsia"/>
          <w:kern w:val="0"/>
          <w:szCs w:val="21"/>
        </w:rPr>
        <w:t>92%</w:t>
      </w:r>
      <w:r w:rsidRPr="00510275">
        <w:rPr>
          <w:rFonts w:ascii="Times New Roman" w:hAnsi="Times New Roman" w:cs="Times New Roman" w:hint="eastAsia"/>
          <w:kern w:val="0"/>
          <w:szCs w:val="21"/>
        </w:rPr>
        <w:t>，特异性为</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，准确度为</w:t>
      </w:r>
      <w:r w:rsidRPr="00510275">
        <w:rPr>
          <w:rFonts w:ascii="Times New Roman" w:hAnsi="Times New Roman" w:cs="Times New Roman" w:hint="eastAsia"/>
          <w:kern w:val="0"/>
          <w:szCs w:val="21"/>
        </w:rPr>
        <w:t>94%</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18</w:t>
      </w:r>
      <w:r w:rsidRPr="00510275">
        <w:rPr>
          <w:rFonts w:ascii="Times New Roman" w:hAnsi="Times New Roman" w:cs="Times New Roman" w:hint="eastAsia"/>
          <w:kern w:val="0"/>
          <w:szCs w:val="21"/>
        </w:rPr>
        <w:t>种化学物的致敏结果种有</w:t>
      </w:r>
      <w:r w:rsidRPr="00510275">
        <w:rPr>
          <w:rFonts w:ascii="Times New Roman" w:hAnsi="Times New Roman" w:cs="Times New Roman" w:hint="eastAsia"/>
          <w:kern w:val="0"/>
          <w:szCs w:val="21"/>
        </w:rPr>
        <w:t>17</w:t>
      </w:r>
      <w:r w:rsidRPr="00510275">
        <w:rPr>
          <w:rFonts w:ascii="Times New Roman" w:hAnsi="Times New Roman" w:cs="Times New Roman" w:hint="eastAsia"/>
          <w:kern w:val="0"/>
          <w:szCs w:val="21"/>
        </w:rPr>
        <w:t>种与</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一致，</w:t>
      </w:r>
      <w:r w:rsidRPr="00510275">
        <w:rPr>
          <w:rFonts w:ascii="Times New Roman" w:hAnsi="Times New Roman" w:cs="Times New Roman" w:hint="eastAsia"/>
          <w:kern w:val="0"/>
          <w:szCs w:val="21"/>
        </w:rPr>
        <w:t>1</w:t>
      </w:r>
      <w:r w:rsidRPr="00510275">
        <w:rPr>
          <w:rFonts w:ascii="Times New Roman" w:hAnsi="Times New Roman" w:cs="Times New Roman" w:hint="eastAsia"/>
          <w:kern w:val="0"/>
          <w:szCs w:val="21"/>
        </w:rPr>
        <w:t>种出现假阴性的结果与</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不一致，但这个假阴性结果与</w:t>
      </w:r>
      <w:r w:rsidRPr="00510275">
        <w:rPr>
          <w:rFonts w:ascii="Times New Roman" w:hAnsi="Times New Roman" w:cs="Times New Roman" w:hint="eastAsia"/>
          <w:kern w:val="0"/>
          <w:szCs w:val="21"/>
        </w:rPr>
        <w:t>ICCVAM</w:t>
      </w:r>
      <w:r w:rsidRPr="00510275">
        <w:rPr>
          <w:rFonts w:ascii="Times New Roman" w:hAnsi="Times New Roman" w:cs="Times New Roman" w:hint="eastAsia"/>
          <w:kern w:val="0"/>
          <w:szCs w:val="21"/>
        </w:rPr>
        <w:t>数据资料和文献报道一致。</w:t>
      </w:r>
    </w:p>
    <w:p w:rsidR="00510275" w:rsidRDefault="00510275" w:rsidP="00510275">
      <w:pPr>
        <w:autoSpaceDE w:val="0"/>
        <w:autoSpaceDN w:val="0"/>
        <w:spacing w:line="300" w:lineRule="auto"/>
        <w:rPr>
          <w:rFonts w:ascii="Times New Roman" w:hAnsi="Times New Roman" w:cs="Times New Roman"/>
          <w:kern w:val="0"/>
          <w:szCs w:val="21"/>
        </w:rPr>
      </w:pPr>
      <w:r>
        <w:rPr>
          <w:rFonts w:ascii="Times New Roman" w:hAnsi="Times New Roman" w:cs="Times New Roman" w:hint="eastAsia"/>
          <w:kern w:val="0"/>
          <w:szCs w:val="21"/>
        </w:rPr>
        <w:lastRenderedPageBreak/>
        <w:t>（二）</w:t>
      </w:r>
      <w:r>
        <w:rPr>
          <w:rFonts w:ascii="Times New Roman" w:hAnsi="Times New Roman" w:cs="Times New Roman"/>
          <w:kern w:val="0"/>
          <w:szCs w:val="21"/>
        </w:rPr>
        <w:t>实验室间验证</w:t>
      </w:r>
    </w:p>
    <w:p w:rsidR="00E61E03" w:rsidRDefault="00510275" w:rsidP="00510275">
      <w:pPr>
        <w:autoSpaceDE w:val="0"/>
        <w:autoSpaceDN w:val="0"/>
        <w:spacing w:line="300" w:lineRule="auto"/>
        <w:ind w:firstLineChars="200" w:firstLine="420"/>
        <w:rPr>
          <w:rFonts w:ascii="Times New Roman" w:hAnsi="Times New Roman" w:cs="Times New Roman"/>
          <w:kern w:val="0"/>
          <w:szCs w:val="21"/>
        </w:rPr>
      </w:pPr>
      <w:r w:rsidRPr="00510275">
        <w:rPr>
          <w:rFonts w:ascii="Times New Roman" w:hAnsi="Times New Roman" w:cs="Times New Roman" w:hint="eastAsia"/>
          <w:kern w:val="0"/>
          <w:szCs w:val="21"/>
        </w:rPr>
        <w:t>共有</w:t>
      </w:r>
      <w:r>
        <w:rPr>
          <w:rFonts w:ascii="Times New Roman" w:hAnsi="Times New Roman" w:cs="Times New Roman" w:hint="eastAsia"/>
          <w:kern w:val="0"/>
          <w:szCs w:val="21"/>
        </w:rPr>
        <w:t>3</w:t>
      </w:r>
      <w:r w:rsidRPr="00510275">
        <w:rPr>
          <w:rFonts w:ascii="Times New Roman" w:hAnsi="Times New Roman" w:cs="Times New Roman" w:hint="eastAsia"/>
          <w:kern w:val="0"/>
          <w:szCs w:val="21"/>
        </w:rPr>
        <w:t>家验证单位（实验室</w:t>
      </w:r>
      <w:r w:rsidRPr="00510275">
        <w:rPr>
          <w:rFonts w:ascii="Times New Roman" w:hAnsi="Times New Roman" w:cs="Times New Roman" w:hint="eastAsia"/>
          <w:kern w:val="0"/>
          <w:szCs w:val="21"/>
        </w:rPr>
        <w:t>1</w:t>
      </w:r>
      <w:r w:rsidRPr="00510275">
        <w:rPr>
          <w:rFonts w:ascii="Times New Roman" w:hAnsi="Times New Roman" w:cs="Times New Roman" w:hint="eastAsia"/>
          <w:kern w:val="0"/>
          <w:szCs w:val="21"/>
        </w:rPr>
        <w:t>、实验室</w:t>
      </w:r>
      <w:r w:rsidRPr="00510275">
        <w:rPr>
          <w:rFonts w:ascii="Times New Roman" w:hAnsi="Times New Roman" w:cs="Times New Roman" w:hint="eastAsia"/>
          <w:kern w:val="0"/>
          <w:szCs w:val="21"/>
        </w:rPr>
        <w:t>2</w:t>
      </w:r>
      <w:r w:rsidRPr="00510275">
        <w:rPr>
          <w:rFonts w:ascii="Times New Roman" w:hAnsi="Times New Roman" w:cs="Times New Roman" w:hint="eastAsia"/>
          <w:kern w:val="0"/>
          <w:szCs w:val="21"/>
        </w:rPr>
        <w:t>、实验室</w:t>
      </w:r>
      <w:r w:rsidRPr="00510275">
        <w:rPr>
          <w:rFonts w:ascii="Times New Roman" w:hAnsi="Times New Roman" w:cs="Times New Roman" w:hint="eastAsia"/>
          <w:kern w:val="0"/>
          <w:szCs w:val="21"/>
        </w:rPr>
        <w:t>3</w:t>
      </w:r>
      <w:r w:rsidRPr="00510275">
        <w:rPr>
          <w:rFonts w:ascii="Times New Roman" w:hAnsi="Times New Roman" w:cs="Times New Roman" w:hint="eastAsia"/>
          <w:kern w:val="0"/>
          <w:szCs w:val="21"/>
        </w:rPr>
        <w:t>）按照起草的</w:t>
      </w:r>
      <w:proofErr w:type="spellStart"/>
      <w:r w:rsidRPr="00510275">
        <w:rPr>
          <w:rFonts w:ascii="Times New Roman" w:hAnsi="Times New Roman" w:cs="Times New Roman" w:hint="eastAsia"/>
          <w:kern w:val="0"/>
          <w:szCs w:val="21"/>
        </w:rPr>
        <w:t>BrdU</w:t>
      </w:r>
      <w:proofErr w:type="spellEnd"/>
      <w:r w:rsidRPr="00510275">
        <w:rPr>
          <w:rFonts w:ascii="Times New Roman" w:hAnsi="Times New Roman" w:cs="Times New Roman" w:hint="eastAsia"/>
          <w:kern w:val="0"/>
          <w:szCs w:val="21"/>
        </w:rPr>
        <w:t>-FCM</w:t>
      </w:r>
      <w:r w:rsidRPr="00510275">
        <w:rPr>
          <w:rFonts w:ascii="Times New Roman" w:hAnsi="Times New Roman" w:cs="Times New Roman" w:hint="eastAsia"/>
          <w:kern w:val="0"/>
          <w:szCs w:val="21"/>
        </w:rPr>
        <w:t>试验方法进行了实验室间验证，对</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附录</w:t>
      </w:r>
      <w:r w:rsidRPr="00510275">
        <w:rPr>
          <w:rFonts w:ascii="Times New Roman" w:hAnsi="Times New Roman" w:cs="Times New Roman" w:hint="eastAsia"/>
          <w:kern w:val="0"/>
          <w:szCs w:val="21"/>
        </w:rPr>
        <w:t>1</w:t>
      </w:r>
      <w:r w:rsidRPr="00510275">
        <w:rPr>
          <w:rFonts w:ascii="Times New Roman" w:hAnsi="Times New Roman" w:cs="Times New Roman" w:hint="eastAsia"/>
          <w:kern w:val="0"/>
          <w:szCs w:val="21"/>
        </w:rPr>
        <w:t>中的</w:t>
      </w:r>
      <w:r w:rsidRPr="00510275">
        <w:rPr>
          <w:rFonts w:ascii="Times New Roman" w:hAnsi="Times New Roman" w:cs="Times New Roman" w:hint="eastAsia"/>
          <w:kern w:val="0"/>
          <w:szCs w:val="21"/>
        </w:rPr>
        <w:t>15</w:t>
      </w:r>
      <w:r w:rsidRPr="00510275">
        <w:rPr>
          <w:rFonts w:ascii="Times New Roman" w:hAnsi="Times New Roman" w:cs="Times New Roman" w:hint="eastAsia"/>
          <w:kern w:val="0"/>
          <w:szCs w:val="21"/>
        </w:rPr>
        <w:t>种参考物质皮肤致敏性进行了检测，结果显示</w:t>
      </w:r>
      <w:r w:rsidRPr="00510275">
        <w:rPr>
          <w:rFonts w:ascii="Times New Roman" w:hAnsi="Times New Roman" w:cs="Times New Roman" w:hint="eastAsia"/>
          <w:kern w:val="0"/>
          <w:szCs w:val="21"/>
        </w:rPr>
        <w:t>15</w:t>
      </w:r>
      <w:r w:rsidRPr="00510275">
        <w:rPr>
          <w:rFonts w:ascii="Times New Roman" w:hAnsi="Times New Roman" w:cs="Times New Roman" w:hint="eastAsia"/>
          <w:kern w:val="0"/>
          <w:szCs w:val="21"/>
        </w:rPr>
        <w:t>种化学物的致敏结果较一致，个别物质出现假阴性或假阳性的结果，与</w:t>
      </w:r>
      <w:r w:rsidRPr="00510275">
        <w:rPr>
          <w:rFonts w:ascii="Times New Roman" w:hAnsi="Times New Roman" w:cs="Times New Roman" w:hint="eastAsia"/>
          <w:kern w:val="0"/>
          <w:szCs w:val="21"/>
        </w:rPr>
        <w:t>ICCVAM</w:t>
      </w:r>
      <w:r w:rsidRPr="00510275">
        <w:rPr>
          <w:rFonts w:ascii="Times New Roman" w:hAnsi="Times New Roman" w:cs="Times New Roman" w:hint="eastAsia"/>
          <w:kern w:val="0"/>
          <w:szCs w:val="21"/>
        </w:rPr>
        <w:t>数据资料和文献报道一致。</w:t>
      </w:r>
    </w:p>
    <w:p w:rsidR="00E61E03" w:rsidRDefault="00510275" w:rsidP="00510275">
      <w:pPr>
        <w:autoSpaceDE w:val="0"/>
        <w:autoSpaceDN w:val="0"/>
        <w:spacing w:line="300" w:lineRule="auto"/>
        <w:ind w:firstLineChars="200" w:firstLine="420"/>
        <w:rPr>
          <w:rFonts w:ascii="Times New Roman" w:hAnsi="Times New Roman" w:cs="Times New Roman"/>
          <w:kern w:val="0"/>
          <w:szCs w:val="21"/>
        </w:rPr>
      </w:pPr>
      <w:r w:rsidRPr="00510275">
        <w:rPr>
          <w:rFonts w:ascii="Times New Roman" w:hAnsi="Times New Roman" w:cs="Times New Roman" w:hint="eastAsia"/>
          <w:kern w:val="0"/>
          <w:szCs w:val="21"/>
        </w:rPr>
        <w:t>实验室</w:t>
      </w:r>
      <w:r w:rsidRPr="00510275">
        <w:rPr>
          <w:rFonts w:ascii="Times New Roman" w:hAnsi="Times New Roman" w:cs="Times New Roman" w:hint="eastAsia"/>
          <w:kern w:val="0"/>
          <w:szCs w:val="21"/>
        </w:rPr>
        <w:t>1</w:t>
      </w:r>
      <w:r w:rsidRPr="00510275">
        <w:rPr>
          <w:rFonts w:ascii="Times New Roman" w:hAnsi="Times New Roman" w:cs="Times New Roman" w:hint="eastAsia"/>
          <w:kern w:val="0"/>
          <w:szCs w:val="21"/>
        </w:rPr>
        <w:t>、实验室</w:t>
      </w:r>
      <w:r w:rsidRPr="00510275">
        <w:rPr>
          <w:rFonts w:ascii="Times New Roman" w:hAnsi="Times New Roman" w:cs="Times New Roman" w:hint="eastAsia"/>
          <w:kern w:val="0"/>
          <w:szCs w:val="21"/>
        </w:rPr>
        <w:t>2</w:t>
      </w:r>
      <w:r w:rsidRPr="00510275">
        <w:rPr>
          <w:rFonts w:ascii="Times New Roman" w:hAnsi="Times New Roman" w:cs="Times New Roman" w:hint="eastAsia"/>
          <w:kern w:val="0"/>
          <w:szCs w:val="21"/>
        </w:rPr>
        <w:t>、实验室</w:t>
      </w:r>
      <w:r w:rsidRPr="00510275">
        <w:rPr>
          <w:rFonts w:ascii="Times New Roman" w:hAnsi="Times New Roman" w:cs="Times New Roman" w:hint="eastAsia"/>
          <w:kern w:val="0"/>
          <w:szCs w:val="21"/>
        </w:rPr>
        <w:t>3</w:t>
      </w:r>
      <w:r w:rsidRPr="00510275">
        <w:rPr>
          <w:rFonts w:ascii="Times New Roman" w:hAnsi="Times New Roman" w:cs="Times New Roman" w:hint="eastAsia"/>
          <w:kern w:val="0"/>
          <w:szCs w:val="21"/>
        </w:rPr>
        <w:t>的验证结果分别为：阳性预测率为</w:t>
      </w:r>
      <w:r w:rsidRPr="00510275">
        <w:rPr>
          <w:rFonts w:ascii="Times New Roman" w:hAnsi="Times New Roman" w:cs="Times New Roman" w:hint="eastAsia"/>
          <w:kern w:val="0"/>
          <w:szCs w:val="21"/>
        </w:rPr>
        <w:t>89</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，阴性预测率为</w:t>
      </w:r>
      <w:r w:rsidRPr="00510275">
        <w:rPr>
          <w:rFonts w:ascii="Times New Roman" w:hAnsi="Times New Roman" w:cs="Times New Roman" w:hint="eastAsia"/>
          <w:kern w:val="0"/>
          <w:szCs w:val="21"/>
        </w:rPr>
        <w:t>67</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71</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71%</w:t>
      </w:r>
      <w:r w:rsidRPr="00510275">
        <w:rPr>
          <w:rFonts w:ascii="Times New Roman" w:hAnsi="Times New Roman" w:cs="Times New Roman" w:hint="eastAsia"/>
          <w:kern w:val="0"/>
          <w:szCs w:val="21"/>
        </w:rPr>
        <w:t>，假阳性率为</w:t>
      </w:r>
      <w:r w:rsidRPr="00510275">
        <w:rPr>
          <w:rFonts w:ascii="Times New Roman" w:hAnsi="Times New Roman" w:cs="Times New Roman" w:hint="eastAsia"/>
          <w:kern w:val="0"/>
          <w:szCs w:val="21"/>
        </w:rPr>
        <w:t>11</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0%</w:t>
      </w:r>
      <w:r w:rsidRPr="00510275">
        <w:rPr>
          <w:rFonts w:ascii="Times New Roman" w:hAnsi="Times New Roman" w:cs="Times New Roman" w:hint="eastAsia"/>
          <w:kern w:val="0"/>
          <w:szCs w:val="21"/>
        </w:rPr>
        <w:t>，假阴性率为</w:t>
      </w:r>
      <w:r w:rsidRPr="00510275">
        <w:rPr>
          <w:rFonts w:ascii="Times New Roman" w:hAnsi="Times New Roman" w:cs="Times New Roman" w:hint="eastAsia"/>
          <w:kern w:val="0"/>
          <w:szCs w:val="21"/>
        </w:rPr>
        <w:t>33</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29</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29%</w:t>
      </w:r>
      <w:r w:rsidRPr="00510275">
        <w:rPr>
          <w:rFonts w:ascii="Times New Roman" w:hAnsi="Times New Roman" w:cs="Times New Roman" w:hint="eastAsia"/>
          <w:kern w:val="0"/>
          <w:szCs w:val="21"/>
        </w:rPr>
        <w:t>，灵敏度为</w:t>
      </w:r>
      <w:r w:rsidRPr="00510275">
        <w:rPr>
          <w:rFonts w:ascii="Times New Roman" w:hAnsi="Times New Roman" w:cs="Times New Roman" w:hint="eastAsia"/>
          <w:kern w:val="0"/>
          <w:szCs w:val="21"/>
        </w:rPr>
        <w:t>80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80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80%</w:t>
      </w:r>
      <w:r w:rsidRPr="00510275">
        <w:rPr>
          <w:rFonts w:ascii="Times New Roman" w:hAnsi="Times New Roman" w:cs="Times New Roman" w:hint="eastAsia"/>
          <w:kern w:val="0"/>
          <w:szCs w:val="21"/>
        </w:rPr>
        <w:t>，特异性为</w:t>
      </w:r>
      <w:r w:rsidRPr="00510275">
        <w:rPr>
          <w:rFonts w:ascii="Times New Roman" w:hAnsi="Times New Roman" w:cs="Times New Roman" w:hint="eastAsia"/>
          <w:kern w:val="0"/>
          <w:szCs w:val="21"/>
        </w:rPr>
        <w:t>80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100%</w:t>
      </w:r>
      <w:r w:rsidRPr="00510275">
        <w:rPr>
          <w:rFonts w:ascii="Times New Roman" w:hAnsi="Times New Roman" w:cs="Times New Roman" w:hint="eastAsia"/>
          <w:kern w:val="0"/>
          <w:szCs w:val="21"/>
        </w:rPr>
        <w:t>，准确度为</w:t>
      </w:r>
      <w:r w:rsidRPr="00510275">
        <w:rPr>
          <w:rFonts w:ascii="Times New Roman" w:hAnsi="Times New Roman" w:cs="Times New Roman" w:hint="eastAsia"/>
          <w:kern w:val="0"/>
          <w:szCs w:val="21"/>
        </w:rPr>
        <w:t>80</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87</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87%</w:t>
      </w:r>
      <w:r w:rsidRPr="00510275">
        <w:rPr>
          <w:rFonts w:ascii="Times New Roman" w:hAnsi="Times New Roman" w:cs="Times New Roman" w:hint="eastAsia"/>
          <w:kern w:val="0"/>
          <w:szCs w:val="21"/>
        </w:rPr>
        <w:t>。</w:t>
      </w:r>
    </w:p>
    <w:p w:rsidR="00510275" w:rsidRPr="006C286F" w:rsidRDefault="00510275" w:rsidP="00510275">
      <w:pPr>
        <w:autoSpaceDE w:val="0"/>
        <w:autoSpaceDN w:val="0"/>
        <w:spacing w:line="300" w:lineRule="auto"/>
        <w:ind w:firstLineChars="200" w:firstLine="420"/>
        <w:rPr>
          <w:rFonts w:ascii="Times New Roman" w:hAnsi="Times New Roman" w:cs="Times New Roman"/>
          <w:kern w:val="0"/>
          <w:szCs w:val="21"/>
        </w:rPr>
      </w:pPr>
      <w:r w:rsidRPr="00510275">
        <w:rPr>
          <w:rFonts w:ascii="Times New Roman" w:hAnsi="Times New Roman" w:cs="Times New Roman" w:hint="eastAsia"/>
          <w:kern w:val="0"/>
          <w:szCs w:val="21"/>
        </w:rPr>
        <w:t>将各实验室对致敏物质的致敏强度分级与</w:t>
      </w:r>
      <w:r w:rsidRPr="00510275">
        <w:rPr>
          <w:rFonts w:ascii="Times New Roman" w:hAnsi="Times New Roman" w:cs="Times New Roman" w:hint="eastAsia"/>
          <w:kern w:val="0"/>
          <w:szCs w:val="21"/>
        </w:rPr>
        <w:t>OECD TG429</w:t>
      </w:r>
      <w:r w:rsidRPr="00510275">
        <w:rPr>
          <w:rFonts w:ascii="Times New Roman" w:hAnsi="Times New Roman" w:cs="Times New Roman" w:hint="eastAsia"/>
          <w:kern w:val="0"/>
          <w:szCs w:val="21"/>
        </w:rPr>
        <w:t>中已知致敏程度的化学物进行比较，起草单位和三家验证单位的致敏阳性物质的致敏强度分级符合率分别为</w:t>
      </w:r>
      <w:r w:rsidRPr="00510275">
        <w:rPr>
          <w:rFonts w:ascii="Times New Roman" w:hAnsi="Times New Roman" w:cs="Times New Roman" w:hint="eastAsia"/>
          <w:kern w:val="0"/>
          <w:szCs w:val="21"/>
        </w:rPr>
        <w:t>67</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86</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63</w:t>
      </w:r>
      <w:r w:rsidRPr="00510275">
        <w:rPr>
          <w:rFonts w:ascii="Times New Roman" w:hAnsi="Times New Roman" w:cs="Times New Roman" w:hint="eastAsia"/>
          <w:kern w:val="0"/>
          <w:szCs w:val="21"/>
        </w:rPr>
        <w:t>、</w:t>
      </w:r>
      <w:r w:rsidRPr="00510275">
        <w:rPr>
          <w:rFonts w:ascii="Times New Roman" w:hAnsi="Times New Roman" w:cs="Times New Roman" w:hint="eastAsia"/>
          <w:kern w:val="0"/>
          <w:szCs w:val="21"/>
        </w:rPr>
        <w:t>63%</w:t>
      </w:r>
      <w:r w:rsidRPr="00510275">
        <w:rPr>
          <w:rFonts w:ascii="Times New Roman" w:hAnsi="Times New Roman" w:cs="Times New Roman" w:hint="eastAsia"/>
          <w:kern w:val="0"/>
          <w:szCs w:val="21"/>
        </w:rPr>
        <w:t>。</w:t>
      </w:r>
    </w:p>
    <w:p w:rsidR="006C286F" w:rsidRPr="006C286F" w:rsidRDefault="006C286F" w:rsidP="00FA1B99">
      <w:pPr>
        <w:numPr>
          <w:ilvl w:val="0"/>
          <w:numId w:val="1"/>
        </w:numPr>
        <w:autoSpaceDE w:val="0"/>
        <w:autoSpaceDN w:val="0"/>
        <w:spacing w:beforeLines="50" w:before="156" w:afterLines="50" w:after="156" w:line="300" w:lineRule="auto"/>
        <w:rPr>
          <w:rFonts w:ascii="Times New Roman" w:eastAsia="黑体" w:hAnsi="Times New Roman" w:cs="Times New Roman"/>
          <w:kern w:val="0"/>
          <w:szCs w:val="21"/>
        </w:rPr>
      </w:pPr>
      <w:r w:rsidRPr="006C286F">
        <w:rPr>
          <w:rFonts w:ascii="黑体" w:eastAsia="黑体" w:hAnsi="黑体" w:cs="Times New Roman"/>
          <w:kern w:val="0"/>
          <w:szCs w:val="21"/>
        </w:rPr>
        <w:t>需要说明的问题</w:t>
      </w:r>
    </w:p>
    <w:p w:rsidR="006C286F" w:rsidRPr="006C286F" w:rsidRDefault="006C286F" w:rsidP="006C286F">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hint="eastAsia"/>
          <w:kern w:val="0"/>
          <w:szCs w:val="21"/>
        </w:rPr>
        <w:t>起草单位和</w:t>
      </w:r>
      <w:r w:rsidR="00FA1B99">
        <w:rPr>
          <w:rFonts w:ascii="Times New Roman" w:hAnsi="Times New Roman" w:cs="Times New Roman" w:hint="eastAsia"/>
          <w:kern w:val="0"/>
          <w:szCs w:val="21"/>
        </w:rPr>
        <w:t>3</w:t>
      </w:r>
      <w:r w:rsidRPr="006C286F">
        <w:rPr>
          <w:rFonts w:ascii="Times New Roman" w:hAnsi="Times New Roman" w:cs="Times New Roman" w:hint="eastAsia"/>
          <w:kern w:val="0"/>
          <w:szCs w:val="21"/>
        </w:rPr>
        <w:t>家验证单位有个别受试物出现假阴性结果，</w:t>
      </w:r>
      <w:r w:rsidRPr="006C286F">
        <w:rPr>
          <w:rFonts w:ascii="Times New Roman" w:hAnsi="Times New Roman" w:cs="Times New Roman"/>
          <w:kern w:val="0"/>
          <w:szCs w:val="21"/>
        </w:rPr>
        <w:t>与</w:t>
      </w:r>
      <w:r w:rsidRPr="006C286F">
        <w:rPr>
          <w:rFonts w:ascii="Times New Roman" w:hAnsi="Times New Roman" w:cs="Times New Roman"/>
          <w:kern w:val="0"/>
          <w:szCs w:val="21"/>
        </w:rPr>
        <w:t>OECD TG429</w:t>
      </w:r>
      <w:r w:rsidRPr="006C286F">
        <w:rPr>
          <w:rFonts w:ascii="Times New Roman" w:hAnsi="Times New Roman" w:cs="Times New Roman"/>
          <w:kern w:val="0"/>
          <w:szCs w:val="21"/>
        </w:rPr>
        <w:t>不一致</w:t>
      </w:r>
      <w:r w:rsidRPr="006C286F">
        <w:rPr>
          <w:rFonts w:ascii="Times New Roman" w:hAnsi="Times New Roman" w:cs="Times New Roman" w:hint="eastAsia"/>
          <w:kern w:val="0"/>
          <w:szCs w:val="21"/>
        </w:rPr>
        <w:t>，但和</w:t>
      </w:r>
      <w:r w:rsidRPr="006C286F">
        <w:rPr>
          <w:rFonts w:ascii="Times New Roman" w:hAnsi="Times New Roman" w:cs="Times New Roman"/>
          <w:kern w:val="0"/>
          <w:szCs w:val="21"/>
        </w:rPr>
        <w:t>文献报道</w:t>
      </w:r>
      <w:r w:rsidRPr="006C286F">
        <w:rPr>
          <w:rFonts w:ascii="Times New Roman" w:hAnsi="Times New Roman" w:cs="Times New Roman" w:hint="eastAsia"/>
          <w:kern w:val="0"/>
          <w:szCs w:val="21"/>
        </w:rPr>
        <w:t>及</w:t>
      </w:r>
      <w:r w:rsidRPr="006C286F">
        <w:rPr>
          <w:rFonts w:ascii="Times New Roman" w:hAnsi="Times New Roman" w:cs="Times New Roman"/>
          <w:kern w:val="0"/>
          <w:szCs w:val="21"/>
        </w:rPr>
        <w:t>ICCVAM</w:t>
      </w:r>
      <w:r w:rsidRPr="006C286F">
        <w:rPr>
          <w:rFonts w:ascii="Times New Roman" w:hAnsi="Times New Roman" w:cs="Times New Roman"/>
          <w:kern w:val="0"/>
          <w:szCs w:val="21"/>
        </w:rPr>
        <w:t>数据资料</w:t>
      </w:r>
      <w:r w:rsidRPr="006C286F">
        <w:rPr>
          <w:rFonts w:ascii="Times New Roman" w:hAnsi="Times New Roman" w:cs="Times New Roman" w:hint="eastAsia"/>
          <w:kern w:val="0"/>
          <w:szCs w:val="21"/>
        </w:rPr>
        <w:t>一致。分析原因可能是</w:t>
      </w:r>
      <w:r w:rsidRPr="006C286F">
        <w:rPr>
          <w:rFonts w:ascii="Times New Roman" w:hAnsi="Times New Roman" w:cs="Times New Roman"/>
          <w:kern w:val="0"/>
          <w:szCs w:val="21"/>
        </w:rPr>
        <w:t>受试物暴露量不够</w:t>
      </w:r>
      <w:r w:rsidRPr="006C286F">
        <w:rPr>
          <w:rFonts w:ascii="Times New Roman" w:hAnsi="Times New Roman" w:cs="Times New Roman" w:hint="eastAsia"/>
          <w:kern w:val="0"/>
          <w:szCs w:val="21"/>
        </w:rPr>
        <w:t>或受试物本身是非致敏剂，</w:t>
      </w:r>
      <w:r w:rsidRPr="006C286F">
        <w:rPr>
          <w:rFonts w:ascii="Times New Roman" w:hAnsi="Times New Roman" w:cs="Times New Roman"/>
          <w:kern w:val="0"/>
          <w:szCs w:val="21"/>
        </w:rPr>
        <w:t>导致实验室验证中</w:t>
      </w:r>
      <w:r w:rsidRPr="006C286F">
        <w:rPr>
          <w:rFonts w:ascii="Times New Roman" w:hAnsi="Times New Roman" w:cs="Times New Roman"/>
          <w:kern w:val="0"/>
          <w:szCs w:val="21"/>
        </w:rPr>
        <w:t>Brdu-FCM</w:t>
      </w:r>
      <w:r w:rsidRPr="006C286F">
        <w:rPr>
          <w:rFonts w:ascii="Times New Roman" w:hAnsi="Times New Roman" w:cs="Times New Roman"/>
          <w:kern w:val="0"/>
          <w:szCs w:val="21"/>
        </w:rPr>
        <w:t>方法的阴性预测率偏低、假阴性率偏高。</w:t>
      </w:r>
    </w:p>
    <w:p w:rsidR="006C286F" w:rsidRPr="006C286F" w:rsidRDefault="006C286F" w:rsidP="00FA1B99">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hint="eastAsia"/>
          <w:kern w:val="0"/>
          <w:szCs w:val="21"/>
        </w:rPr>
        <w:t>另外，有部分受试物的致敏强度分级</w:t>
      </w:r>
      <w:r w:rsidRPr="006C286F">
        <w:rPr>
          <w:rFonts w:ascii="Times New Roman" w:hAnsi="Times New Roman" w:cs="Times New Roman"/>
          <w:kern w:val="0"/>
          <w:szCs w:val="21"/>
        </w:rPr>
        <w:t>与</w:t>
      </w:r>
      <w:r w:rsidRPr="006C286F">
        <w:rPr>
          <w:rFonts w:ascii="Times New Roman" w:hAnsi="Times New Roman" w:cs="Times New Roman"/>
          <w:kern w:val="0"/>
          <w:szCs w:val="21"/>
        </w:rPr>
        <w:t>OECD TG429</w:t>
      </w:r>
      <w:r w:rsidRPr="006C286F">
        <w:rPr>
          <w:rFonts w:ascii="Times New Roman" w:hAnsi="Times New Roman" w:cs="Times New Roman"/>
          <w:kern w:val="0"/>
          <w:szCs w:val="21"/>
        </w:rPr>
        <w:t>不一致</w:t>
      </w:r>
      <w:r w:rsidRPr="006C286F">
        <w:rPr>
          <w:rFonts w:ascii="Times New Roman" w:hAnsi="Times New Roman" w:cs="Times New Roman" w:hint="eastAsia"/>
          <w:kern w:val="0"/>
          <w:szCs w:val="21"/>
        </w:rPr>
        <w:t>，可能是由于受试物为非致敏物质或者受试物的</w:t>
      </w:r>
      <w:r w:rsidRPr="006C286F">
        <w:rPr>
          <w:rFonts w:ascii="Times New Roman" w:hAnsi="Times New Roman" w:cs="Times New Roman" w:hint="eastAsia"/>
          <w:kern w:val="0"/>
          <w:szCs w:val="21"/>
        </w:rPr>
        <w:t>EC3</w:t>
      </w:r>
      <w:r w:rsidRPr="006C286F">
        <w:rPr>
          <w:rFonts w:ascii="Times New Roman" w:hAnsi="Times New Roman" w:cs="Times New Roman" w:hint="eastAsia"/>
          <w:kern w:val="0"/>
          <w:szCs w:val="21"/>
        </w:rPr>
        <w:t>值在</w:t>
      </w:r>
      <w:r w:rsidRPr="006C286F">
        <w:rPr>
          <w:rFonts w:ascii="Times New Roman" w:hAnsi="Times New Roman" w:cs="Times New Roman"/>
          <w:kern w:val="0"/>
          <w:szCs w:val="21"/>
        </w:rPr>
        <w:t>中度和弱致敏剂的分界处</w:t>
      </w:r>
      <w:r w:rsidRPr="006C286F">
        <w:rPr>
          <w:rFonts w:ascii="Times New Roman" w:hAnsi="Times New Roman" w:cs="Times New Roman" w:hint="eastAsia"/>
          <w:kern w:val="0"/>
          <w:szCs w:val="21"/>
        </w:rPr>
        <w:t>（</w:t>
      </w:r>
      <w:r w:rsidRPr="006C286F">
        <w:rPr>
          <w:rFonts w:ascii="Times New Roman" w:hAnsi="Times New Roman" w:cs="Times New Roman" w:hint="eastAsia"/>
          <w:kern w:val="0"/>
          <w:szCs w:val="21"/>
        </w:rPr>
        <w:t>10%</w:t>
      </w:r>
      <w:r w:rsidRPr="006C286F">
        <w:rPr>
          <w:rFonts w:ascii="Times New Roman" w:hAnsi="Times New Roman" w:cs="Times New Roman" w:hint="eastAsia"/>
          <w:kern w:val="0"/>
          <w:szCs w:val="21"/>
        </w:rPr>
        <w:t>）</w:t>
      </w:r>
      <w:r w:rsidRPr="006C286F">
        <w:rPr>
          <w:rFonts w:ascii="Times New Roman" w:hAnsi="Times New Roman" w:cs="Times New Roman"/>
          <w:kern w:val="0"/>
          <w:szCs w:val="21"/>
        </w:rPr>
        <w:t>，</w:t>
      </w:r>
      <w:r w:rsidRPr="006C286F">
        <w:rPr>
          <w:rFonts w:ascii="Times New Roman" w:hAnsi="Times New Roman" w:cs="Times New Roman" w:hint="eastAsia"/>
          <w:kern w:val="0"/>
          <w:szCs w:val="21"/>
        </w:rPr>
        <w:t>动物的</w:t>
      </w:r>
      <w:r w:rsidRPr="006C286F">
        <w:rPr>
          <w:rFonts w:ascii="Times New Roman" w:hAnsi="Times New Roman" w:cs="Times New Roman"/>
          <w:kern w:val="0"/>
          <w:szCs w:val="21"/>
        </w:rPr>
        <w:t>个体差异及不同实验室条件的差别，导致结果</w:t>
      </w:r>
      <w:r w:rsidRPr="006C286F">
        <w:rPr>
          <w:rFonts w:ascii="Times New Roman" w:hAnsi="Times New Roman" w:cs="Times New Roman" w:hint="eastAsia"/>
          <w:kern w:val="0"/>
          <w:szCs w:val="21"/>
        </w:rPr>
        <w:t>偏差引起</w:t>
      </w:r>
      <w:r w:rsidRPr="006C286F">
        <w:rPr>
          <w:rFonts w:ascii="Times New Roman" w:hAnsi="Times New Roman" w:cs="Times New Roman"/>
          <w:kern w:val="0"/>
          <w:szCs w:val="21"/>
        </w:rPr>
        <w:t>致敏强度符合率偏低。</w:t>
      </w:r>
    </w:p>
    <w:p w:rsidR="00D9528B" w:rsidRPr="006C286F" w:rsidRDefault="006C286F" w:rsidP="00737794">
      <w:pPr>
        <w:autoSpaceDE w:val="0"/>
        <w:autoSpaceDN w:val="0"/>
        <w:spacing w:line="300" w:lineRule="auto"/>
        <w:ind w:firstLineChars="200" w:firstLine="420"/>
        <w:rPr>
          <w:rFonts w:ascii="Times New Roman" w:hAnsi="Times New Roman" w:cs="Times New Roman"/>
          <w:kern w:val="0"/>
          <w:szCs w:val="21"/>
        </w:rPr>
      </w:pPr>
      <w:r w:rsidRPr="006C286F">
        <w:rPr>
          <w:rFonts w:ascii="Times New Roman" w:hAnsi="Times New Roman" w:cs="Times New Roman"/>
          <w:kern w:val="0"/>
          <w:szCs w:val="21"/>
        </w:rPr>
        <w:t>综合上述结果表明，本方法可满足化妆品原料皮肤致敏性的检测要求，可作为化妆品皮肤致敏性动物替代检测方法。</w:t>
      </w:r>
      <w:bookmarkStart w:id="13" w:name="_GoBack"/>
      <w:bookmarkEnd w:id="13"/>
    </w:p>
    <w:sectPr w:rsidR="00D9528B" w:rsidRPr="006C286F" w:rsidSect="0057662C">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572F92" w15:done="0"/>
  <w15:commentEx w15:paraId="7274F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4D440" w16cex:dateUtc="2025-05-12T08:44:00Z"/>
  <w16cex:commentExtensible w16cex:durableId="52C58D61" w16cex:dateUtc="2025-05-1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572F92" w16cid:durableId="5DF4D440"/>
  <w16cid:commentId w16cid:paraId="7274FB16" w16cid:durableId="52C58D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9D4" w:rsidRDefault="005769D4" w:rsidP="00510275">
      <w:pPr>
        <w:spacing w:before="120" w:after="120"/>
      </w:pPr>
      <w:r>
        <w:separator/>
      </w:r>
    </w:p>
  </w:endnote>
  <w:endnote w:type="continuationSeparator" w:id="0">
    <w:p w:rsidR="005769D4" w:rsidRDefault="005769D4" w:rsidP="0051027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9D4" w:rsidRDefault="005769D4" w:rsidP="00510275">
      <w:pPr>
        <w:spacing w:before="120" w:after="120"/>
      </w:pPr>
      <w:r>
        <w:separator/>
      </w:r>
    </w:p>
  </w:footnote>
  <w:footnote w:type="continuationSeparator" w:id="0">
    <w:p w:rsidR="005769D4" w:rsidRDefault="005769D4" w:rsidP="00510275">
      <w:pPr>
        <w:spacing w:before="120" w:after="1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81208"/>
    <w:multiLevelType w:val="singleLevel"/>
    <w:tmpl w:val="86E81208"/>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邢书霞">
    <w15:presenceInfo w15:providerId="None" w15:userId="邢书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MTk5YjVhNjdmOTQ4Yzk4MDU3N2Y0MTQxODljZDgifQ=="/>
  </w:docVars>
  <w:rsids>
    <w:rsidRoot w:val="00294670"/>
    <w:rsid w:val="00045024"/>
    <w:rsid w:val="000A6F93"/>
    <w:rsid w:val="000D27DD"/>
    <w:rsid w:val="000F509D"/>
    <w:rsid w:val="000F7123"/>
    <w:rsid w:val="00100148"/>
    <w:rsid w:val="002310C1"/>
    <w:rsid w:val="002405C3"/>
    <w:rsid w:val="00294670"/>
    <w:rsid w:val="002A2C70"/>
    <w:rsid w:val="00302D45"/>
    <w:rsid w:val="003F6E58"/>
    <w:rsid w:val="00405D04"/>
    <w:rsid w:val="004E2EF6"/>
    <w:rsid w:val="00505B8F"/>
    <w:rsid w:val="00510275"/>
    <w:rsid w:val="00515488"/>
    <w:rsid w:val="00525534"/>
    <w:rsid w:val="0057662C"/>
    <w:rsid w:val="005769D4"/>
    <w:rsid w:val="005B6A23"/>
    <w:rsid w:val="005C2A42"/>
    <w:rsid w:val="00664D48"/>
    <w:rsid w:val="006C286F"/>
    <w:rsid w:val="007013D2"/>
    <w:rsid w:val="0071518E"/>
    <w:rsid w:val="00737794"/>
    <w:rsid w:val="0077695D"/>
    <w:rsid w:val="007A11F1"/>
    <w:rsid w:val="00847342"/>
    <w:rsid w:val="008B2CC0"/>
    <w:rsid w:val="00957155"/>
    <w:rsid w:val="0097000E"/>
    <w:rsid w:val="00982A8A"/>
    <w:rsid w:val="009A2CE2"/>
    <w:rsid w:val="009A7527"/>
    <w:rsid w:val="009D2337"/>
    <w:rsid w:val="00A54A65"/>
    <w:rsid w:val="00AB22AB"/>
    <w:rsid w:val="00AE71CA"/>
    <w:rsid w:val="00BD6867"/>
    <w:rsid w:val="00C7381D"/>
    <w:rsid w:val="00CB19BD"/>
    <w:rsid w:val="00CD117F"/>
    <w:rsid w:val="00D9528B"/>
    <w:rsid w:val="00DB2FF1"/>
    <w:rsid w:val="00E2161C"/>
    <w:rsid w:val="00E459B3"/>
    <w:rsid w:val="00E53C57"/>
    <w:rsid w:val="00E5538F"/>
    <w:rsid w:val="00E565D3"/>
    <w:rsid w:val="00E61E03"/>
    <w:rsid w:val="00FA1B99"/>
    <w:rsid w:val="07013F3A"/>
    <w:rsid w:val="07233AE0"/>
    <w:rsid w:val="0808603F"/>
    <w:rsid w:val="086B6524"/>
    <w:rsid w:val="089903F7"/>
    <w:rsid w:val="09A7687E"/>
    <w:rsid w:val="09DD6705"/>
    <w:rsid w:val="0DBD4C68"/>
    <w:rsid w:val="0FB07BAC"/>
    <w:rsid w:val="11F50B3F"/>
    <w:rsid w:val="1341182A"/>
    <w:rsid w:val="181A629A"/>
    <w:rsid w:val="188C5365"/>
    <w:rsid w:val="1AF26D6C"/>
    <w:rsid w:val="1BE342FE"/>
    <w:rsid w:val="1D1411EC"/>
    <w:rsid w:val="21275791"/>
    <w:rsid w:val="246D27B7"/>
    <w:rsid w:val="2560249B"/>
    <w:rsid w:val="266073AA"/>
    <w:rsid w:val="272A0ED3"/>
    <w:rsid w:val="27784788"/>
    <w:rsid w:val="289C7E0F"/>
    <w:rsid w:val="290D12D5"/>
    <w:rsid w:val="2B5C4B6E"/>
    <w:rsid w:val="2C5D2C42"/>
    <w:rsid w:val="2CFA273F"/>
    <w:rsid w:val="2D4F2702"/>
    <w:rsid w:val="30EC2B9A"/>
    <w:rsid w:val="31645AA3"/>
    <w:rsid w:val="328A077D"/>
    <w:rsid w:val="34F62354"/>
    <w:rsid w:val="36526A2B"/>
    <w:rsid w:val="37C20E72"/>
    <w:rsid w:val="3A886E87"/>
    <w:rsid w:val="3E326243"/>
    <w:rsid w:val="3FC019C7"/>
    <w:rsid w:val="43814658"/>
    <w:rsid w:val="45DA1780"/>
    <w:rsid w:val="49960C60"/>
    <w:rsid w:val="4B3B1EFC"/>
    <w:rsid w:val="4C2A36B6"/>
    <w:rsid w:val="4D692FDB"/>
    <w:rsid w:val="4F9D6F64"/>
    <w:rsid w:val="54DA45CE"/>
    <w:rsid w:val="556323EE"/>
    <w:rsid w:val="5BD26DC8"/>
    <w:rsid w:val="5C7079EB"/>
    <w:rsid w:val="5DA56542"/>
    <w:rsid w:val="5F395C46"/>
    <w:rsid w:val="62710852"/>
    <w:rsid w:val="63AD5477"/>
    <w:rsid w:val="642B2EB0"/>
    <w:rsid w:val="64406FC4"/>
    <w:rsid w:val="68FC7232"/>
    <w:rsid w:val="6E9F0F1C"/>
    <w:rsid w:val="6F1F3DDE"/>
    <w:rsid w:val="703E3AE8"/>
    <w:rsid w:val="71FE16AE"/>
    <w:rsid w:val="7338355D"/>
    <w:rsid w:val="76E41A31"/>
    <w:rsid w:val="78ED130B"/>
    <w:rsid w:val="79BF2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批注框文本 Char"/>
    <w:basedOn w:val="a0"/>
    <w:link w:val="a4"/>
    <w:qFormat/>
    <w:rPr>
      <w:kern w:val="2"/>
      <w:sz w:val="18"/>
      <w:szCs w:val="18"/>
    </w:rPr>
  </w:style>
  <w:style w:type="character" w:styleId="a7">
    <w:name w:val="annotation reference"/>
    <w:basedOn w:val="a0"/>
    <w:rsid w:val="00847342"/>
    <w:rPr>
      <w:sz w:val="21"/>
      <w:szCs w:val="21"/>
    </w:rPr>
  </w:style>
  <w:style w:type="paragraph" w:styleId="a8">
    <w:name w:val="annotation subject"/>
    <w:basedOn w:val="a3"/>
    <w:next w:val="a3"/>
    <w:link w:val="Char1"/>
    <w:rsid w:val="00847342"/>
    <w:rPr>
      <w:b/>
      <w:bCs/>
    </w:rPr>
  </w:style>
  <w:style w:type="character" w:customStyle="1" w:styleId="Char">
    <w:name w:val="批注文字 Char"/>
    <w:basedOn w:val="a0"/>
    <w:link w:val="a3"/>
    <w:rsid w:val="00847342"/>
    <w:rPr>
      <w:kern w:val="2"/>
      <w:sz w:val="21"/>
      <w:szCs w:val="24"/>
    </w:rPr>
  </w:style>
  <w:style w:type="character" w:customStyle="1" w:styleId="Char1">
    <w:name w:val="批注主题 Char"/>
    <w:basedOn w:val="Char"/>
    <w:link w:val="a8"/>
    <w:rsid w:val="00847342"/>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批注框文本 Char"/>
    <w:basedOn w:val="a0"/>
    <w:link w:val="a4"/>
    <w:qFormat/>
    <w:rPr>
      <w:kern w:val="2"/>
      <w:sz w:val="18"/>
      <w:szCs w:val="18"/>
    </w:rPr>
  </w:style>
  <w:style w:type="character" w:styleId="a7">
    <w:name w:val="annotation reference"/>
    <w:basedOn w:val="a0"/>
    <w:rsid w:val="00847342"/>
    <w:rPr>
      <w:sz w:val="21"/>
      <w:szCs w:val="21"/>
    </w:rPr>
  </w:style>
  <w:style w:type="paragraph" w:styleId="a8">
    <w:name w:val="annotation subject"/>
    <w:basedOn w:val="a3"/>
    <w:next w:val="a3"/>
    <w:link w:val="Char1"/>
    <w:rsid w:val="00847342"/>
    <w:rPr>
      <w:b/>
      <w:bCs/>
    </w:rPr>
  </w:style>
  <w:style w:type="character" w:customStyle="1" w:styleId="Char">
    <w:name w:val="批注文字 Char"/>
    <w:basedOn w:val="a0"/>
    <w:link w:val="a3"/>
    <w:rsid w:val="00847342"/>
    <w:rPr>
      <w:kern w:val="2"/>
      <w:sz w:val="21"/>
      <w:szCs w:val="24"/>
    </w:rPr>
  </w:style>
  <w:style w:type="character" w:customStyle="1" w:styleId="Char1">
    <w:name w:val="批注主题 Char"/>
    <w:basedOn w:val="Char"/>
    <w:link w:val="a8"/>
    <w:rsid w:val="0084734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1012</Words>
  <Characters>5773</Characters>
  <Application>Microsoft Office Word</Application>
  <DocSecurity>0</DocSecurity>
  <Lines>48</Lines>
  <Paragraphs>13</Paragraphs>
  <ScaleCrop>false</ScaleCrop>
  <Company>Microsoft</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38628</dc:creator>
  <cp:lastModifiedBy>裴新荣</cp:lastModifiedBy>
  <cp:revision>6</cp:revision>
  <dcterms:created xsi:type="dcterms:W3CDTF">2025-06-20T05:55:00Z</dcterms:created>
  <dcterms:modified xsi:type="dcterms:W3CDTF">2025-06-23T01:41:00Z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61084DF23780416292B95588D5F3317F_13</vt:lpwstr>
  </property>
  <property fmtid="{D5CDD505-2E9C-101B-9397-08002B2CF9AE}" pid="4" name="KSOTemplateDocerSaveRecord">
    <vt:lpwstr>eyJoZGlkIjoiZWM0NWExMWEyMTRiMzUzOGQzMDlkZDY2ZWE2N2U4MzEiLCJ1c2VySWQiOiIxMDI4NjY2ODgwIn0=</vt:lpwstr>
  </property>
</Properties>
</file>