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A36" w:rsidRDefault="00185488">
      <w:pPr>
        <w:adjustRightInd w:val="0"/>
        <w:snapToGrid w:val="0"/>
        <w:spacing w:line="640" w:lineRule="exact"/>
        <w:rPr>
          <w:rFonts w:ascii="黑体" w:eastAsia="黑体" w:hAnsi="黑体" w:cs="黑体"/>
          <w:bCs/>
          <w:sz w:val="32"/>
          <w:szCs w:val="32"/>
        </w:rPr>
      </w:pPr>
      <w:r>
        <w:rPr>
          <w:rFonts w:ascii="黑体" w:eastAsia="黑体" w:hAnsi="黑体" w:cs="黑体" w:hint="eastAsia"/>
          <w:bCs/>
          <w:sz w:val="32"/>
          <w:szCs w:val="32"/>
        </w:rPr>
        <w:t>附件</w:t>
      </w:r>
      <w:r>
        <w:rPr>
          <w:rFonts w:ascii="黑体" w:eastAsia="黑体" w:hAnsi="黑体" w:cs="黑体" w:hint="eastAsia"/>
          <w:bCs/>
          <w:sz w:val="32"/>
          <w:szCs w:val="32"/>
        </w:rPr>
        <w:t>1</w:t>
      </w:r>
    </w:p>
    <w:p w:rsidR="00902A36" w:rsidRDefault="00902A36">
      <w:pPr>
        <w:adjustRightInd w:val="0"/>
        <w:snapToGrid w:val="0"/>
        <w:spacing w:line="640" w:lineRule="exact"/>
        <w:jc w:val="center"/>
        <w:rPr>
          <w:rFonts w:ascii="Times New Roman" w:eastAsia="黑体" w:hAnsi="Times New Roman" w:cs="Times New Roman"/>
          <w:b/>
          <w:bCs/>
          <w:sz w:val="72"/>
          <w:szCs w:val="72"/>
        </w:rPr>
      </w:pPr>
    </w:p>
    <w:p w:rsidR="00902A36" w:rsidRDefault="00902A36">
      <w:pPr>
        <w:adjustRightInd w:val="0"/>
        <w:snapToGrid w:val="0"/>
        <w:spacing w:line="640" w:lineRule="exact"/>
        <w:jc w:val="center"/>
        <w:rPr>
          <w:rFonts w:ascii="Times New Roman" w:eastAsia="黑体" w:hAnsi="Times New Roman" w:cs="Times New Roman"/>
          <w:b/>
          <w:bCs/>
          <w:sz w:val="72"/>
          <w:szCs w:val="72"/>
        </w:rPr>
      </w:pPr>
    </w:p>
    <w:p w:rsidR="00902A36" w:rsidRDefault="00902A36">
      <w:pPr>
        <w:adjustRightInd w:val="0"/>
        <w:snapToGrid w:val="0"/>
        <w:spacing w:line="640" w:lineRule="exact"/>
        <w:jc w:val="center"/>
        <w:rPr>
          <w:rFonts w:ascii="Times New Roman" w:eastAsia="黑体" w:hAnsi="Times New Roman" w:cs="Times New Roman"/>
          <w:b/>
          <w:bCs/>
          <w:sz w:val="72"/>
          <w:szCs w:val="72"/>
        </w:rPr>
      </w:pPr>
    </w:p>
    <w:p w:rsidR="00902A36" w:rsidRPr="00F40C06" w:rsidRDefault="00185488">
      <w:pPr>
        <w:spacing w:line="480" w:lineRule="auto"/>
        <w:contextualSpacing/>
        <w:jc w:val="center"/>
        <w:rPr>
          <w:rFonts w:ascii="Times New Roman" w:eastAsia="方正小标宋简体" w:hAnsi="Times New Roman" w:cs="Times New Roman"/>
          <w:bCs/>
          <w:sz w:val="44"/>
          <w:szCs w:val="44"/>
        </w:rPr>
      </w:pPr>
      <w:bookmarkStart w:id="0" w:name="_Toc177215278"/>
      <w:bookmarkStart w:id="1" w:name="_Toc177214538"/>
      <w:bookmarkStart w:id="2" w:name="_Toc190177680"/>
      <w:bookmarkStart w:id="3" w:name="_Toc26087"/>
      <w:bookmarkStart w:id="4" w:name="_Toc1425"/>
      <w:bookmarkStart w:id="5" w:name="_Toc13511"/>
      <w:r w:rsidRPr="00F40C06">
        <w:rPr>
          <w:rFonts w:ascii="Times New Roman" w:eastAsia="方正小标宋简体" w:hAnsi="Times New Roman" w:cs="Times New Roman" w:hint="eastAsia"/>
          <w:bCs/>
          <w:sz w:val="44"/>
          <w:szCs w:val="44"/>
        </w:rPr>
        <w:t>植物来源化妆品新原料</w:t>
      </w:r>
      <w:bookmarkStart w:id="6" w:name="_Toc177214539"/>
      <w:bookmarkStart w:id="7" w:name="_Toc177215279"/>
      <w:bookmarkStart w:id="8" w:name="_Toc190177681"/>
      <w:bookmarkEnd w:id="0"/>
      <w:bookmarkEnd w:id="1"/>
      <w:bookmarkEnd w:id="2"/>
      <w:r w:rsidRPr="00F40C06">
        <w:rPr>
          <w:rFonts w:ascii="Times New Roman" w:eastAsia="方正小标宋简体" w:hAnsi="Times New Roman" w:cs="Times New Roman" w:hint="eastAsia"/>
          <w:bCs/>
          <w:sz w:val="44"/>
          <w:szCs w:val="44"/>
        </w:rPr>
        <w:t>命名技术指导原则</w:t>
      </w:r>
      <w:bookmarkEnd w:id="6"/>
      <w:bookmarkEnd w:id="7"/>
      <w:bookmarkEnd w:id="8"/>
    </w:p>
    <w:p w:rsidR="00902A36" w:rsidRPr="00F40C06" w:rsidRDefault="00185488">
      <w:pPr>
        <w:spacing w:line="480" w:lineRule="auto"/>
        <w:contextualSpacing/>
        <w:jc w:val="center"/>
        <w:rPr>
          <w:rFonts w:ascii="Times New Roman" w:eastAsia="方正小标宋简体" w:hAnsi="Times New Roman" w:cs="Times New Roman"/>
          <w:bCs/>
          <w:sz w:val="44"/>
          <w:szCs w:val="44"/>
        </w:rPr>
      </w:pPr>
      <w:bookmarkStart w:id="9" w:name="_Toc190177682"/>
      <w:bookmarkStart w:id="10" w:name="_Toc177215280"/>
      <w:bookmarkStart w:id="11" w:name="_Toc177214540"/>
      <w:r w:rsidRPr="00F40C06">
        <w:rPr>
          <w:rFonts w:ascii="Times New Roman" w:eastAsia="方正小标宋简体" w:hAnsi="Times New Roman" w:cs="Times New Roman" w:hint="eastAsia"/>
          <w:bCs/>
          <w:sz w:val="44"/>
          <w:szCs w:val="44"/>
        </w:rPr>
        <w:t>（征求意见稿）</w:t>
      </w:r>
      <w:bookmarkEnd w:id="3"/>
      <w:bookmarkEnd w:id="4"/>
      <w:bookmarkEnd w:id="5"/>
      <w:bookmarkEnd w:id="9"/>
      <w:bookmarkEnd w:id="10"/>
      <w:bookmarkEnd w:id="11"/>
    </w:p>
    <w:p w:rsidR="00902A36" w:rsidRDefault="00902A36">
      <w:pPr>
        <w:snapToGrid w:val="0"/>
        <w:spacing w:line="360" w:lineRule="auto"/>
        <w:jc w:val="center"/>
        <w:rPr>
          <w:rFonts w:ascii="Times New Roman" w:eastAsia="仿宋" w:hAnsi="Times New Roman" w:cs="Times New Roman"/>
          <w:sz w:val="44"/>
          <w:szCs w:val="44"/>
        </w:rPr>
      </w:pPr>
      <w:bookmarkStart w:id="12" w:name="_GoBack"/>
      <w:bookmarkEnd w:id="12"/>
    </w:p>
    <w:p w:rsidR="00902A36" w:rsidRDefault="00902A36">
      <w:pPr>
        <w:snapToGrid w:val="0"/>
        <w:spacing w:line="360" w:lineRule="auto"/>
        <w:jc w:val="center"/>
        <w:rPr>
          <w:rFonts w:ascii="Times New Roman" w:eastAsia="仿宋" w:hAnsi="Times New Roman" w:cs="Times New Roman"/>
          <w:sz w:val="44"/>
          <w:szCs w:val="44"/>
        </w:rPr>
      </w:pPr>
    </w:p>
    <w:p w:rsidR="00902A36" w:rsidRDefault="00902A36">
      <w:pPr>
        <w:snapToGrid w:val="0"/>
        <w:spacing w:line="360" w:lineRule="auto"/>
        <w:jc w:val="center"/>
        <w:rPr>
          <w:rFonts w:ascii="Times New Roman" w:eastAsia="仿宋" w:hAnsi="Times New Roman" w:cs="Times New Roman"/>
          <w:sz w:val="44"/>
          <w:szCs w:val="44"/>
        </w:rPr>
      </w:pPr>
    </w:p>
    <w:p w:rsidR="00902A36" w:rsidRDefault="00902A36">
      <w:pPr>
        <w:snapToGrid w:val="0"/>
        <w:spacing w:line="360" w:lineRule="auto"/>
        <w:jc w:val="center"/>
        <w:rPr>
          <w:rFonts w:ascii="Times New Roman" w:eastAsia="仿宋" w:hAnsi="Times New Roman" w:cs="Times New Roman"/>
          <w:sz w:val="44"/>
          <w:szCs w:val="44"/>
        </w:rPr>
      </w:pPr>
    </w:p>
    <w:p w:rsidR="00902A36" w:rsidRDefault="00902A36">
      <w:pPr>
        <w:snapToGrid w:val="0"/>
        <w:spacing w:line="360" w:lineRule="auto"/>
        <w:jc w:val="center"/>
        <w:rPr>
          <w:rFonts w:ascii="Times New Roman" w:eastAsia="仿宋" w:hAnsi="Times New Roman" w:cs="Times New Roman"/>
          <w:sz w:val="44"/>
          <w:szCs w:val="44"/>
        </w:rPr>
      </w:pPr>
    </w:p>
    <w:p w:rsidR="00902A36" w:rsidRDefault="00902A36">
      <w:pPr>
        <w:snapToGrid w:val="0"/>
        <w:spacing w:line="360" w:lineRule="auto"/>
        <w:jc w:val="center"/>
        <w:rPr>
          <w:rFonts w:ascii="Times New Roman" w:eastAsia="仿宋" w:hAnsi="Times New Roman" w:cs="Times New Roman"/>
          <w:sz w:val="44"/>
          <w:szCs w:val="44"/>
        </w:rPr>
      </w:pPr>
    </w:p>
    <w:p w:rsidR="00902A36" w:rsidRDefault="00902A36">
      <w:pPr>
        <w:snapToGrid w:val="0"/>
        <w:spacing w:line="360" w:lineRule="auto"/>
        <w:jc w:val="center"/>
        <w:rPr>
          <w:rFonts w:ascii="Times New Roman" w:eastAsia="仿宋" w:hAnsi="Times New Roman" w:cs="Times New Roman"/>
          <w:sz w:val="44"/>
          <w:szCs w:val="44"/>
        </w:rPr>
      </w:pPr>
    </w:p>
    <w:p w:rsidR="00902A36" w:rsidRDefault="00902A36">
      <w:pPr>
        <w:snapToGrid w:val="0"/>
        <w:spacing w:line="360" w:lineRule="auto"/>
        <w:jc w:val="center"/>
        <w:rPr>
          <w:rFonts w:ascii="Times New Roman" w:eastAsia="仿宋" w:hAnsi="Times New Roman" w:cs="Times New Roman"/>
          <w:sz w:val="44"/>
          <w:szCs w:val="44"/>
        </w:rPr>
      </w:pPr>
    </w:p>
    <w:p w:rsidR="00902A36" w:rsidRDefault="00902A36">
      <w:pPr>
        <w:snapToGrid w:val="0"/>
        <w:spacing w:line="360" w:lineRule="auto"/>
        <w:jc w:val="center"/>
        <w:rPr>
          <w:rFonts w:ascii="Times New Roman" w:eastAsia="仿宋" w:hAnsi="Times New Roman" w:cs="Times New Roman"/>
          <w:sz w:val="44"/>
          <w:szCs w:val="44"/>
        </w:rPr>
      </w:pPr>
    </w:p>
    <w:p w:rsidR="00902A36" w:rsidRDefault="00185488">
      <w:pPr>
        <w:adjustRightInd w:val="0"/>
        <w:snapToGrid w:val="0"/>
        <w:spacing w:line="640" w:lineRule="exact"/>
        <w:jc w:val="center"/>
        <w:rPr>
          <w:rFonts w:ascii="Times New Roman" w:hAnsi="Times New Roman" w:cs="Times New Roman"/>
        </w:rPr>
        <w:sectPr w:rsidR="00902A36">
          <w:headerReference w:type="even"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425"/>
          <w:docGrid w:type="lines" w:linePitch="312"/>
        </w:sectPr>
      </w:pPr>
      <w:r>
        <w:rPr>
          <w:rFonts w:ascii="Times New Roman" w:eastAsia="楷体" w:hAnsi="Times New Roman" w:cs="Times New Roman"/>
          <w:sz w:val="44"/>
          <w:szCs w:val="44"/>
        </w:rPr>
        <w:t>中国食品药品检定研究院</w:t>
      </w:r>
    </w:p>
    <w:p w:rsidR="00902A36" w:rsidRDefault="00185488">
      <w:pPr>
        <w:adjustRightInd w:val="0"/>
        <w:snapToGrid w:val="0"/>
        <w:spacing w:line="640" w:lineRule="exact"/>
        <w:ind w:firstLineChars="200" w:firstLine="640"/>
        <w:outlineLvl w:val="0"/>
        <w:rPr>
          <w:rFonts w:ascii="Times New Roman" w:eastAsia="黑体" w:hAnsi="Times New Roman" w:cs="Times New Roman"/>
          <w:sz w:val="32"/>
          <w:szCs w:val="32"/>
        </w:rPr>
      </w:pPr>
      <w:bookmarkStart w:id="13" w:name="_Toc215669166"/>
      <w:r>
        <w:rPr>
          <w:rFonts w:ascii="Times New Roman" w:eastAsia="黑体" w:hAnsi="Times New Roman" w:cs="Times New Roman"/>
          <w:sz w:val="32"/>
          <w:szCs w:val="32"/>
        </w:rPr>
        <w:lastRenderedPageBreak/>
        <w:t>一、概述</w:t>
      </w:r>
      <w:bookmarkEnd w:id="13"/>
    </w:p>
    <w:p w:rsidR="00902A36" w:rsidRDefault="00185488">
      <w:pPr>
        <w:adjustRightInd w:val="0"/>
        <w:snapToGrid w:val="0"/>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原料名称是化妆品新原料的一项重要信息</w:t>
      </w:r>
      <w:r>
        <w:rPr>
          <w:rFonts w:ascii="Times New Roman" w:eastAsia="仿宋_GB2312" w:hAnsi="Times New Roman" w:cs="Times New Roman" w:hint="eastAsia"/>
          <w:sz w:val="32"/>
          <w:szCs w:val="32"/>
        </w:rPr>
        <w:t>，也是</w:t>
      </w:r>
      <w:r>
        <w:rPr>
          <w:rFonts w:ascii="Times New Roman" w:eastAsia="仿宋_GB2312" w:hAnsi="Times New Roman" w:cs="Times New Roman" w:hint="eastAsia"/>
          <w:sz w:val="32"/>
          <w:szCs w:val="32"/>
        </w:rPr>
        <w:t>区分不同原料的主要身份标识。在</w:t>
      </w:r>
      <w:r>
        <w:rPr>
          <w:rFonts w:ascii="Times New Roman" w:eastAsia="仿宋_GB2312" w:hAnsi="Times New Roman" w:cs="Times New Roman" w:hint="eastAsia"/>
          <w:sz w:val="32"/>
          <w:szCs w:val="32"/>
        </w:rPr>
        <w:t>对植物来源化妆品新原料（以下简称植物新原料）进行命名时，需要考虑来源植物、使用部位、制备工艺、化学组成等多方面因素。为支持化妆品原料创新，指导新原料注册人、备案人（以下简称</w:t>
      </w:r>
      <w:proofErr w:type="gramStart"/>
      <w:r>
        <w:rPr>
          <w:rFonts w:ascii="Times New Roman" w:eastAsia="仿宋_GB2312" w:hAnsi="Times New Roman" w:cs="Times New Roman" w:hint="eastAsia"/>
          <w:sz w:val="32"/>
          <w:szCs w:val="32"/>
        </w:rPr>
        <w:t>注备人</w:t>
      </w:r>
      <w:proofErr w:type="gramEnd"/>
      <w:r>
        <w:rPr>
          <w:rFonts w:ascii="Times New Roman" w:eastAsia="仿宋_GB2312" w:hAnsi="Times New Roman" w:cs="Times New Roman" w:hint="eastAsia"/>
          <w:sz w:val="32"/>
          <w:szCs w:val="32"/>
        </w:rPr>
        <w:t>）对植物新原料进行科学、规范命名，根据《化妆品监督管理条例》《化妆品注册备案管理办法》《化妆品新原料注册备案资料管理规定》及相关法规要求，制定本指导原则。</w:t>
      </w:r>
    </w:p>
    <w:p w:rsidR="00902A36" w:rsidRDefault="00185488">
      <w:pPr>
        <w:adjustRightInd w:val="0"/>
        <w:snapToGrid w:val="0"/>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本指导原则是在现行法规、标准以及当前认知水平下制定，应遵循具体问题具体分析原则。随着法规、标准更新完善以及科学技术发展，将适时进行调整。</w:t>
      </w:r>
    </w:p>
    <w:p w:rsidR="00902A36" w:rsidRDefault="00185488">
      <w:pPr>
        <w:adjustRightInd w:val="0"/>
        <w:snapToGrid w:val="0"/>
        <w:spacing w:line="640" w:lineRule="exact"/>
        <w:ind w:firstLineChars="200" w:firstLine="640"/>
        <w:outlineLvl w:val="0"/>
        <w:rPr>
          <w:rFonts w:ascii="Times New Roman" w:eastAsia="黑体" w:hAnsi="Times New Roman" w:cs="Times New Roman"/>
          <w:sz w:val="32"/>
          <w:szCs w:val="32"/>
        </w:rPr>
      </w:pPr>
      <w:bookmarkStart w:id="14" w:name="_Toc215669167"/>
      <w:r>
        <w:rPr>
          <w:rFonts w:ascii="Times New Roman" w:eastAsia="黑体" w:hAnsi="Times New Roman" w:cs="Times New Roman"/>
          <w:sz w:val="32"/>
          <w:szCs w:val="32"/>
        </w:rPr>
        <w:t>二、适用范围</w:t>
      </w:r>
      <w:bookmarkEnd w:id="14"/>
    </w:p>
    <w:p w:rsidR="00902A36" w:rsidRDefault="00185488">
      <w:pPr>
        <w:adjustRightInd w:val="0"/>
        <w:snapToGrid w:val="0"/>
        <w:spacing w:line="64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本指导原则适用于植物来源化</w:t>
      </w:r>
      <w:r>
        <w:rPr>
          <w:rFonts w:ascii="仿宋_GB2312" w:eastAsia="仿宋_GB2312" w:hAnsi="Times New Roman" w:cs="Times New Roman" w:hint="eastAsia"/>
          <w:sz w:val="32"/>
          <w:szCs w:val="32"/>
        </w:rPr>
        <w:t>妆品新原料的原料中文名称的命名研究。植物来源化妆品新原料是以植物为原材料，经粉碎、提取和</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或分离等方式处理获得的新原料，其生产加工过程未改变原有成分的化学结构。来源于藻类或大型真菌（如蘑菇）的新原料，可参照本指导原则进行命名。</w:t>
      </w:r>
    </w:p>
    <w:p w:rsidR="00902A36" w:rsidRDefault="00185488">
      <w:pPr>
        <w:adjustRightInd w:val="0"/>
        <w:snapToGrid w:val="0"/>
        <w:spacing w:line="64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本指导原则仅用于指导植物来源化妆品新原料命名，不作为化妆品新原料界定的依据。</w:t>
      </w:r>
    </w:p>
    <w:p w:rsidR="00902A36" w:rsidRDefault="00185488">
      <w:pPr>
        <w:adjustRightInd w:val="0"/>
        <w:snapToGrid w:val="0"/>
        <w:spacing w:line="640" w:lineRule="exact"/>
        <w:ind w:firstLineChars="200" w:firstLine="640"/>
        <w:outlineLvl w:val="0"/>
        <w:rPr>
          <w:rFonts w:ascii="Times New Roman" w:eastAsia="黑体" w:hAnsi="Times New Roman" w:cs="Times New Roman"/>
          <w:sz w:val="32"/>
          <w:szCs w:val="32"/>
        </w:rPr>
      </w:pPr>
      <w:bookmarkStart w:id="15" w:name="_Toc215669168"/>
      <w:r>
        <w:rPr>
          <w:rFonts w:ascii="Times New Roman" w:eastAsia="黑体" w:hAnsi="Times New Roman" w:cs="Times New Roman"/>
          <w:sz w:val="32"/>
          <w:szCs w:val="32"/>
        </w:rPr>
        <w:t>三、一般原则</w:t>
      </w:r>
      <w:bookmarkEnd w:id="15"/>
    </w:p>
    <w:p w:rsidR="00902A36" w:rsidRDefault="00185488">
      <w:pPr>
        <w:adjustRightInd w:val="0"/>
        <w:snapToGrid w:val="0"/>
        <w:spacing w:line="640" w:lineRule="exact"/>
        <w:ind w:firstLineChars="200" w:firstLine="640"/>
        <w:rPr>
          <w:rFonts w:ascii="Times New Roman" w:eastAsia="仿宋_GB2312" w:hAnsi="Times New Roman" w:cs="Times New Roman"/>
          <w:sz w:val="32"/>
          <w:szCs w:val="32"/>
        </w:rPr>
      </w:pPr>
      <w:proofErr w:type="gramStart"/>
      <w:r>
        <w:rPr>
          <w:rFonts w:ascii="Times New Roman" w:eastAsia="仿宋_GB2312" w:hAnsi="Times New Roman" w:cs="Times New Roman" w:hint="eastAsia"/>
          <w:sz w:val="32"/>
          <w:szCs w:val="32"/>
        </w:rPr>
        <w:lastRenderedPageBreak/>
        <w:t>注备人</w:t>
      </w:r>
      <w:proofErr w:type="gramEnd"/>
      <w:r>
        <w:rPr>
          <w:rFonts w:ascii="Times New Roman" w:eastAsia="仿宋_GB2312" w:hAnsi="Times New Roman" w:cs="Times New Roman" w:hint="eastAsia"/>
          <w:sz w:val="32"/>
          <w:szCs w:val="32"/>
        </w:rPr>
        <w:t>应当对新原料命名相关基础信息进行充分研究，包括但不限于来源植物、使用部位、制备工艺、主要化学组成等，并结合新原料具体情况，参考本指导原则的相关命名规则，制定科学、规范的原料中文名称。所制</w:t>
      </w:r>
      <w:r>
        <w:rPr>
          <w:rFonts w:ascii="Times New Roman" w:eastAsia="仿宋_GB2312" w:hAnsi="Times New Roman" w:cs="Times New Roman" w:hint="eastAsia"/>
          <w:sz w:val="32"/>
          <w:szCs w:val="32"/>
        </w:rPr>
        <w:t>定的原料中文名称应当尽可能反映其物质基础，并符合行业习惯，便于新原料的辨识、使用和管理。</w:t>
      </w:r>
    </w:p>
    <w:p w:rsidR="00902A36" w:rsidRDefault="00185488">
      <w:pPr>
        <w:adjustRightInd w:val="0"/>
        <w:snapToGrid w:val="0"/>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植物新原料的具体情形较为复杂，本指导原则旨在对常见类型植物新原料的命名进行指导。对于本指导原则未覆盖的其他特殊形式的植物新原料，</w:t>
      </w:r>
      <w:proofErr w:type="gramStart"/>
      <w:r>
        <w:rPr>
          <w:rFonts w:ascii="Times New Roman" w:eastAsia="仿宋_GB2312" w:hAnsi="Times New Roman" w:cs="Times New Roman" w:hint="eastAsia"/>
          <w:sz w:val="32"/>
          <w:szCs w:val="32"/>
        </w:rPr>
        <w:t>注备人</w:t>
      </w:r>
      <w:proofErr w:type="gramEnd"/>
      <w:r>
        <w:rPr>
          <w:rFonts w:ascii="Times New Roman" w:eastAsia="仿宋_GB2312" w:hAnsi="Times New Roman" w:cs="Times New Roman" w:hint="eastAsia"/>
          <w:sz w:val="32"/>
          <w:szCs w:val="32"/>
        </w:rPr>
        <w:t>应当在科学合理的前提下逐案分析，并提供命名依据。</w:t>
      </w:r>
    </w:p>
    <w:p w:rsidR="00902A36" w:rsidRDefault="00185488">
      <w:pPr>
        <w:adjustRightInd w:val="0"/>
        <w:snapToGrid w:val="0"/>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除原料中文名称外，注册人还应当按照《化妆品新原料注册备案资料技术通则》的有关要求，提供英文名称、</w:t>
      </w:r>
      <w:r>
        <w:rPr>
          <w:rFonts w:ascii="Times New Roman" w:eastAsia="仿宋_GB2312" w:hAnsi="Times New Roman" w:cs="Times New Roman" w:hint="eastAsia"/>
          <w:sz w:val="32"/>
          <w:szCs w:val="32"/>
        </w:rPr>
        <w:t>INCI</w:t>
      </w:r>
      <w:r>
        <w:rPr>
          <w:rFonts w:ascii="Times New Roman" w:eastAsia="仿宋_GB2312" w:hAnsi="Times New Roman" w:cs="Times New Roman" w:hint="eastAsia"/>
          <w:sz w:val="32"/>
          <w:szCs w:val="32"/>
        </w:rPr>
        <w:t>名称、化学名称等其他必要信息。</w:t>
      </w:r>
    </w:p>
    <w:p w:rsidR="00902A36" w:rsidRDefault="00185488">
      <w:pPr>
        <w:adjustRightInd w:val="0"/>
        <w:snapToGrid w:val="0"/>
        <w:spacing w:line="640" w:lineRule="exact"/>
        <w:ind w:firstLineChars="200" w:firstLine="640"/>
        <w:outlineLvl w:val="0"/>
        <w:rPr>
          <w:rFonts w:ascii="Times New Roman" w:eastAsia="黑体" w:hAnsi="Times New Roman" w:cs="Times New Roman"/>
          <w:sz w:val="32"/>
          <w:szCs w:val="32"/>
        </w:rPr>
      </w:pPr>
      <w:bookmarkStart w:id="16" w:name="_Toc215669169"/>
      <w:r>
        <w:rPr>
          <w:rFonts w:ascii="Times New Roman" w:eastAsia="黑体" w:hAnsi="Times New Roman" w:cs="Times New Roman"/>
          <w:sz w:val="32"/>
          <w:szCs w:val="32"/>
        </w:rPr>
        <w:t>四、</w:t>
      </w:r>
      <w:r>
        <w:rPr>
          <w:rFonts w:ascii="Times New Roman" w:eastAsia="黑体" w:hAnsi="Times New Roman" w:cs="Times New Roman" w:hint="eastAsia"/>
          <w:sz w:val="32"/>
          <w:szCs w:val="32"/>
        </w:rPr>
        <w:t>相关基础信息</w:t>
      </w:r>
      <w:r>
        <w:rPr>
          <w:rFonts w:ascii="Times New Roman" w:eastAsia="黑体" w:hAnsi="Times New Roman" w:cs="Times New Roman"/>
          <w:sz w:val="32"/>
          <w:szCs w:val="32"/>
        </w:rPr>
        <w:t>研究</w:t>
      </w:r>
      <w:bookmarkEnd w:id="16"/>
    </w:p>
    <w:p w:rsidR="00902A36" w:rsidRDefault="00185488">
      <w:pPr>
        <w:pStyle w:val="ad"/>
        <w:adjustRightInd w:val="0"/>
        <w:snapToGrid w:val="0"/>
        <w:spacing w:line="640" w:lineRule="exact"/>
        <w:ind w:firstLine="640"/>
        <w:outlineLvl w:val="1"/>
        <w:rPr>
          <w:rFonts w:ascii="Times New Roman" w:eastAsia="楷体_GB2312" w:hAnsi="Times New Roman" w:cs="Times New Roman"/>
          <w:kern w:val="0"/>
          <w:sz w:val="32"/>
          <w:szCs w:val="32"/>
        </w:rPr>
      </w:pPr>
      <w:bookmarkStart w:id="17" w:name="_Toc215669170"/>
      <w:r>
        <w:rPr>
          <w:rFonts w:ascii="Times New Roman" w:eastAsia="楷体_GB2312" w:hAnsi="Times New Roman" w:cs="Times New Roman"/>
          <w:kern w:val="0"/>
          <w:sz w:val="32"/>
          <w:szCs w:val="32"/>
        </w:rPr>
        <w:t>（一）来源植物</w:t>
      </w:r>
      <w:bookmarkEnd w:id="17"/>
    </w:p>
    <w:p w:rsidR="00902A36" w:rsidRDefault="00185488">
      <w:pPr>
        <w:pStyle w:val="ad"/>
        <w:adjustRightInd w:val="0"/>
        <w:snapToGrid w:val="0"/>
        <w:spacing w:line="640" w:lineRule="exact"/>
        <w:ind w:firstLine="640"/>
        <w:rPr>
          <w:rFonts w:ascii="Times New Roman" w:eastAsia="仿宋_GB2312" w:hAnsi="Times New Roman" w:cs="Times New Roman"/>
          <w:kern w:val="0"/>
          <w:sz w:val="32"/>
          <w:szCs w:val="32"/>
        </w:rPr>
      </w:pPr>
      <w:proofErr w:type="gramStart"/>
      <w:r>
        <w:rPr>
          <w:rFonts w:ascii="Times New Roman" w:eastAsia="仿宋_GB2312" w:hAnsi="Times New Roman" w:cs="Times New Roman" w:hint="eastAsia"/>
          <w:kern w:val="0"/>
          <w:sz w:val="32"/>
          <w:szCs w:val="32"/>
        </w:rPr>
        <w:t>注备人</w:t>
      </w:r>
      <w:proofErr w:type="gramEnd"/>
      <w:r>
        <w:rPr>
          <w:rFonts w:ascii="Times New Roman" w:eastAsia="仿宋_GB2312" w:hAnsi="Times New Roman" w:cs="Times New Roman" w:hint="eastAsia"/>
          <w:kern w:val="0"/>
          <w:sz w:val="32"/>
          <w:szCs w:val="32"/>
        </w:rPr>
        <w:t>应当对来源植物开展系统研究，根据植物种属鉴定结果，明确植物种属信息，并确认规范的植物中文名称、植物拉丁二项系名称（即拉丁学名）。</w:t>
      </w:r>
    </w:p>
    <w:p w:rsidR="00902A36" w:rsidRDefault="00185488">
      <w:pPr>
        <w:pStyle w:val="ad"/>
        <w:adjustRightInd w:val="0"/>
        <w:snapToGrid w:val="0"/>
        <w:spacing w:line="640" w:lineRule="exact"/>
        <w:ind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在对植物中文名称和拉丁学名进行研究、确认时，应当充分查询相关文献，并可参考植物种属信息数据库，如</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中国植物志</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查询链接</w:t>
      </w:r>
      <w:r>
        <w:rPr>
          <w:rFonts w:ascii="Times New Roman" w:eastAsia="仿宋_GB2312" w:hAnsi="Times New Roman" w:cs="Times New Roman"/>
          <w:kern w:val="0"/>
          <w:sz w:val="32"/>
          <w:szCs w:val="32"/>
        </w:rPr>
        <w:t>https://www.iplant.cn/frps</w:t>
      </w:r>
      <w:r>
        <w:rPr>
          <w:rFonts w:ascii="Times New Roman" w:eastAsia="仿宋_GB2312" w:hAnsi="Times New Roman" w:cs="Times New Roman" w:hint="eastAsia"/>
          <w:kern w:val="0"/>
          <w:sz w:val="32"/>
          <w:szCs w:val="32"/>
        </w:rPr>
        <w:t>）或《中国</w:t>
      </w:r>
      <w:r>
        <w:rPr>
          <w:rFonts w:ascii="Times New Roman" w:eastAsia="仿宋_GB2312" w:hAnsi="Times New Roman" w:cs="Times New Roman" w:hint="eastAsia"/>
          <w:kern w:val="0"/>
          <w:sz w:val="32"/>
          <w:szCs w:val="32"/>
        </w:rPr>
        <w:lastRenderedPageBreak/>
        <w:t>植物志》英文修订版（</w:t>
      </w:r>
      <w:r>
        <w:rPr>
          <w:rFonts w:ascii="Times New Roman" w:eastAsia="仿宋_GB2312" w:hAnsi="Times New Roman" w:cs="Times New Roman" w:hint="eastAsia"/>
          <w:kern w:val="0"/>
          <w:sz w:val="32"/>
          <w:szCs w:val="32"/>
        </w:rPr>
        <w:t>查询链接</w:t>
      </w:r>
      <w:r>
        <w:rPr>
          <w:rFonts w:ascii="Times New Roman" w:eastAsia="仿宋_GB2312" w:hAnsi="Times New Roman" w:cs="Times New Roman"/>
          <w:kern w:val="0"/>
          <w:sz w:val="32"/>
          <w:szCs w:val="32"/>
        </w:rPr>
        <w:t>https://www.iplant.cn/foc</w:t>
      </w:r>
      <w:r>
        <w:rPr>
          <w:rFonts w:ascii="Times New Roman" w:eastAsia="仿宋_GB2312" w:hAnsi="Times New Roman" w:cs="Times New Roman" w:hint="eastAsia"/>
          <w:kern w:val="0"/>
          <w:sz w:val="32"/>
          <w:szCs w:val="32"/>
        </w:rPr>
        <w:t>）。当植物名称信息出现不一致时，应当对相关信息进行充分分析和溯源，一般情况下应当优先使用正名。</w:t>
      </w:r>
    </w:p>
    <w:p w:rsidR="00902A36" w:rsidRDefault="00185488">
      <w:pPr>
        <w:pStyle w:val="ad"/>
        <w:adjustRightInd w:val="0"/>
        <w:snapToGrid w:val="0"/>
        <w:spacing w:line="640" w:lineRule="exact"/>
        <w:ind w:firstLine="640"/>
        <w:outlineLvl w:val="1"/>
        <w:rPr>
          <w:rFonts w:ascii="Times New Roman" w:eastAsia="楷体_GB2312" w:hAnsi="Times New Roman" w:cs="Times New Roman"/>
          <w:kern w:val="0"/>
          <w:sz w:val="32"/>
          <w:szCs w:val="32"/>
        </w:rPr>
      </w:pPr>
      <w:bookmarkStart w:id="18" w:name="_Toc215669171"/>
      <w:r>
        <w:rPr>
          <w:rFonts w:ascii="Times New Roman" w:eastAsia="楷体_GB2312" w:hAnsi="Times New Roman" w:cs="Times New Roman"/>
          <w:kern w:val="0"/>
          <w:sz w:val="32"/>
          <w:szCs w:val="32"/>
        </w:rPr>
        <w:t>（二）使用部位</w:t>
      </w:r>
      <w:bookmarkEnd w:id="18"/>
    </w:p>
    <w:p w:rsidR="00902A36" w:rsidRDefault="00185488">
      <w:pPr>
        <w:pStyle w:val="ad"/>
        <w:adjustRightInd w:val="0"/>
        <w:snapToGrid w:val="0"/>
        <w:spacing w:line="640" w:lineRule="exact"/>
        <w:ind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使用部位是指制备新原料时所用植物的具体部位。植物常见使用部位包括根、茎、叶、花、果实、种子等，在不产生歧义的提前下，可视情况采用简称，例如简称为“果”“籽”等。当同时使用多个部位时，可以“</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”作为间隔，将多个部位依次列出；当使用全株时，新原料名称中可省略使用部位。</w:t>
      </w:r>
    </w:p>
    <w:p w:rsidR="00902A36" w:rsidRDefault="00185488">
      <w:pPr>
        <w:pStyle w:val="ad"/>
        <w:adjustRightInd w:val="0"/>
        <w:snapToGrid w:val="0"/>
        <w:spacing w:line="640" w:lineRule="exact"/>
        <w:ind w:firstLine="640"/>
        <w:outlineLvl w:val="1"/>
        <w:rPr>
          <w:rFonts w:ascii="Times New Roman" w:eastAsia="楷体_GB2312" w:hAnsi="Times New Roman" w:cs="Times New Roman"/>
          <w:kern w:val="0"/>
          <w:sz w:val="32"/>
          <w:szCs w:val="32"/>
        </w:rPr>
      </w:pPr>
      <w:bookmarkStart w:id="19" w:name="_Toc215669172"/>
      <w:r>
        <w:rPr>
          <w:rFonts w:ascii="Times New Roman" w:eastAsia="楷体_GB2312" w:hAnsi="Times New Roman" w:cs="Times New Roman"/>
          <w:kern w:val="0"/>
          <w:sz w:val="32"/>
          <w:szCs w:val="32"/>
        </w:rPr>
        <w:t>（三）制备工艺</w:t>
      </w:r>
      <w:bookmarkEnd w:id="19"/>
    </w:p>
    <w:p w:rsidR="00902A36" w:rsidRDefault="00185488">
      <w:pPr>
        <w:pStyle w:val="ad"/>
        <w:adjustRightInd w:val="0"/>
        <w:snapToGrid w:val="0"/>
        <w:spacing w:line="640" w:lineRule="exact"/>
        <w:ind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制备工艺直接影响所获新原料的物质形态、化学组成和质量安全。因此，应当对新原料制备工艺开展充分研究，必要时在新原料名称中体现相关信息。</w:t>
      </w:r>
    </w:p>
    <w:p w:rsidR="00902A36" w:rsidRDefault="00185488">
      <w:pPr>
        <w:pStyle w:val="ad"/>
        <w:adjustRightInd w:val="0"/>
        <w:snapToGrid w:val="0"/>
        <w:spacing w:line="640" w:lineRule="exact"/>
        <w:ind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常见制备工艺有粉碎、提取、浓缩、干燥、分离等，具体释义见下表</w:t>
      </w: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w:t>
      </w:r>
    </w:p>
    <w:p w:rsidR="00902A36" w:rsidRPr="007D1D29" w:rsidRDefault="00185488">
      <w:pPr>
        <w:pStyle w:val="a3"/>
        <w:jc w:val="center"/>
        <w:rPr>
          <w:rFonts w:ascii="黑体" w:hAnsi="黑体" w:cs="Times New Roman"/>
          <w:sz w:val="28"/>
          <w:szCs w:val="36"/>
        </w:rPr>
      </w:pPr>
      <w:r w:rsidRPr="007D1D29">
        <w:rPr>
          <w:rFonts w:ascii="黑体" w:hAnsi="黑体" w:cs="Times New Roman"/>
          <w:sz w:val="28"/>
          <w:szCs w:val="36"/>
        </w:rPr>
        <w:t>表</w:t>
      </w:r>
      <w:r w:rsidRPr="007D1D29">
        <w:rPr>
          <w:rFonts w:ascii="黑体" w:hAnsi="黑体" w:cs="Times New Roman"/>
          <w:sz w:val="28"/>
          <w:szCs w:val="36"/>
        </w:rPr>
        <w:t xml:space="preserve"> </w:t>
      </w:r>
      <w:r w:rsidRPr="007D1D29">
        <w:rPr>
          <w:rFonts w:ascii="黑体" w:hAnsi="黑体" w:cs="Times New Roman"/>
          <w:sz w:val="28"/>
          <w:szCs w:val="36"/>
        </w:rPr>
        <w:fldChar w:fldCharType="begin"/>
      </w:r>
      <w:r w:rsidRPr="007D1D29">
        <w:rPr>
          <w:rFonts w:ascii="黑体" w:hAnsi="黑体" w:cs="Times New Roman"/>
          <w:sz w:val="28"/>
          <w:szCs w:val="36"/>
        </w:rPr>
        <w:instrText xml:space="preserve"> SEQ </w:instrText>
      </w:r>
      <w:r w:rsidRPr="007D1D29">
        <w:rPr>
          <w:rFonts w:ascii="黑体" w:hAnsi="黑体" w:cs="Times New Roman"/>
          <w:sz w:val="28"/>
          <w:szCs w:val="36"/>
        </w:rPr>
        <w:instrText>表</w:instrText>
      </w:r>
      <w:r w:rsidRPr="007D1D29">
        <w:rPr>
          <w:rFonts w:ascii="黑体" w:hAnsi="黑体" w:cs="Times New Roman"/>
          <w:sz w:val="28"/>
          <w:szCs w:val="36"/>
        </w:rPr>
        <w:instrText xml:space="preserve"> \* ARA</w:instrText>
      </w:r>
      <w:r w:rsidRPr="007D1D29">
        <w:rPr>
          <w:rFonts w:ascii="黑体" w:hAnsi="黑体" w:cs="Times New Roman"/>
          <w:sz w:val="28"/>
          <w:szCs w:val="36"/>
        </w:rPr>
        <w:instrText xml:space="preserve">BIC </w:instrText>
      </w:r>
      <w:r w:rsidRPr="007D1D29">
        <w:rPr>
          <w:rFonts w:ascii="黑体" w:hAnsi="黑体" w:cs="Times New Roman"/>
          <w:sz w:val="28"/>
          <w:szCs w:val="36"/>
        </w:rPr>
        <w:fldChar w:fldCharType="separate"/>
      </w:r>
      <w:r w:rsidRPr="007D1D29">
        <w:rPr>
          <w:rFonts w:ascii="黑体" w:hAnsi="黑体" w:cs="Times New Roman"/>
          <w:sz w:val="28"/>
          <w:szCs w:val="36"/>
        </w:rPr>
        <w:t>2</w:t>
      </w:r>
      <w:r w:rsidRPr="007D1D29">
        <w:rPr>
          <w:rFonts w:ascii="黑体" w:hAnsi="黑体" w:cs="Times New Roman"/>
          <w:sz w:val="28"/>
          <w:szCs w:val="36"/>
        </w:rPr>
        <w:fldChar w:fldCharType="end"/>
      </w:r>
      <w:r w:rsidRPr="007D1D29">
        <w:rPr>
          <w:rFonts w:ascii="黑体" w:hAnsi="黑体" w:cs="Times New Roman"/>
          <w:sz w:val="28"/>
          <w:szCs w:val="36"/>
        </w:rPr>
        <w:t xml:space="preserve"> </w:t>
      </w:r>
      <w:r w:rsidRPr="007D1D29">
        <w:rPr>
          <w:rFonts w:ascii="黑体" w:hAnsi="黑体" w:cs="Times New Roman"/>
          <w:sz w:val="28"/>
          <w:szCs w:val="36"/>
        </w:rPr>
        <w:t>常见制备工艺释义</w:t>
      </w:r>
    </w:p>
    <w:tbl>
      <w:tblPr>
        <w:tblStyle w:val="aa"/>
        <w:tblW w:w="0" w:type="auto"/>
        <w:tblInd w:w="327" w:type="dxa"/>
        <w:tblLook w:val="04A0" w:firstRow="1" w:lastRow="0" w:firstColumn="1" w:lastColumn="0" w:noHBand="0" w:noVBand="1"/>
      </w:tblPr>
      <w:tblGrid>
        <w:gridCol w:w="2258"/>
        <w:gridCol w:w="5937"/>
      </w:tblGrid>
      <w:tr w:rsidR="00902A36">
        <w:tc>
          <w:tcPr>
            <w:tcW w:w="2258" w:type="dxa"/>
          </w:tcPr>
          <w:p w:rsidR="00902A36" w:rsidRPr="007D1D29" w:rsidRDefault="00185488">
            <w:pPr>
              <w:pStyle w:val="ad"/>
              <w:adjustRightInd w:val="0"/>
              <w:snapToGrid w:val="0"/>
              <w:spacing w:beforeLines="20" w:before="62" w:afterLines="20" w:after="62"/>
              <w:ind w:firstLineChars="0" w:firstLine="0"/>
              <w:jc w:val="center"/>
              <w:rPr>
                <w:rFonts w:asciiTheme="minorEastAsia" w:hAnsiTheme="minorEastAsia" w:cstheme="minorEastAsia"/>
                <w:b/>
                <w:bCs/>
                <w:kern w:val="0"/>
                <w:sz w:val="28"/>
                <w:szCs w:val="28"/>
              </w:rPr>
            </w:pPr>
            <w:r w:rsidRPr="007D1D29">
              <w:rPr>
                <w:rFonts w:asciiTheme="minorEastAsia" w:hAnsiTheme="minorEastAsia" w:cstheme="minorEastAsia" w:hint="eastAsia"/>
                <w:b/>
                <w:bCs/>
                <w:kern w:val="0"/>
                <w:sz w:val="28"/>
                <w:szCs w:val="28"/>
              </w:rPr>
              <w:t>制备工艺</w:t>
            </w:r>
          </w:p>
        </w:tc>
        <w:tc>
          <w:tcPr>
            <w:tcW w:w="5937" w:type="dxa"/>
          </w:tcPr>
          <w:p w:rsidR="00902A36" w:rsidRPr="007D1D29" w:rsidRDefault="00185488">
            <w:pPr>
              <w:pStyle w:val="ad"/>
              <w:adjustRightInd w:val="0"/>
              <w:snapToGrid w:val="0"/>
              <w:spacing w:beforeLines="20" w:before="62" w:afterLines="20" w:after="62"/>
              <w:ind w:firstLineChars="0" w:firstLine="0"/>
              <w:jc w:val="center"/>
              <w:rPr>
                <w:rFonts w:asciiTheme="minorEastAsia" w:hAnsiTheme="minorEastAsia" w:cstheme="minorEastAsia"/>
                <w:b/>
                <w:bCs/>
                <w:kern w:val="0"/>
                <w:sz w:val="28"/>
                <w:szCs w:val="28"/>
              </w:rPr>
            </w:pPr>
            <w:r w:rsidRPr="007D1D29">
              <w:rPr>
                <w:rFonts w:asciiTheme="minorEastAsia" w:hAnsiTheme="minorEastAsia" w:cstheme="minorEastAsia" w:hint="eastAsia"/>
                <w:b/>
                <w:bCs/>
                <w:kern w:val="0"/>
                <w:sz w:val="28"/>
                <w:szCs w:val="28"/>
              </w:rPr>
              <w:t>释义</w:t>
            </w:r>
          </w:p>
        </w:tc>
      </w:tr>
      <w:tr w:rsidR="00902A36">
        <w:tc>
          <w:tcPr>
            <w:tcW w:w="2258" w:type="dxa"/>
            <w:vAlign w:val="center"/>
          </w:tcPr>
          <w:p w:rsidR="00902A36" w:rsidRPr="007D1D29" w:rsidRDefault="00185488">
            <w:pPr>
              <w:pStyle w:val="ad"/>
              <w:adjustRightInd w:val="0"/>
              <w:snapToGrid w:val="0"/>
              <w:spacing w:beforeLines="20" w:before="62" w:afterLines="20" w:after="62"/>
              <w:ind w:firstLineChars="0" w:firstLine="0"/>
              <w:jc w:val="center"/>
              <w:rPr>
                <w:rFonts w:asciiTheme="minorEastAsia" w:hAnsiTheme="minorEastAsia" w:cstheme="minorEastAsia"/>
                <w:kern w:val="0"/>
                <w:sz w:val="28"/>
                <w:szCs w:val="28"/>
              </w:rPr>
            </w:pPr>
            <w:r w:rsidRPr="007D1D29">
              <w:rPr>
                <w:rFonts w:asciiTheme="minorEastAsia" w:hAnsiTheme="minorEastAsia" w:cstheme="minorEastAsia" w:hint="eastAsia"/>
                <w:kern w:val="0"/>
                <w:sz w:val="28"/>
                <w:szCs w:val="28"/>
              </w:rPr>
              <w:t>粉碎</w:t>
            </w:r>
          </w:p>
        </w:tc>
        <w:tc>
          <w:tcPr>
            <w:tcW w:w="5937" w:type="dxa"/>
            <w:vAlign w:val="center"/>
          </w:tcPr>
          <w:p w:rsidR="00902A36" w:rsidRPr="007D1D29" w:rsidRDefault="00185488">
            <w:pPr>
              <w:pStyle w:val="ad"/>
              <w:adjustRightInd w:val="0"/>
              <w:snapToGrid w:val="0"/>
              <w:spacing w:beforeLines="20" w:before="62" w:afterLines="20" w:after="62"/>
              <w:ind w:firstLineChars="0" w:firstLine="0"/>
              <w:jc w:val="left"/>
              <w:rPr>
                <w:rFonts w:asciiTheme="minorEastAsia" w:hAnsiTheme="minorEastAsia" w:cstheme="minorEastAsia"/>
                <w:kern w:val="0"/>
                <w:sz w:val="28"/>
                <w:szCs w:val="28"/>
              </w:rPr>
            </w:pPr>
            <w:r w:rsidRPr="007D1D29">
              <w:rPr>
                <w:rFonts w:asciiTheme="minorEastAsia" w:hAnsiTheme="minorEastAsia" w:cstheme="minorEastAsia" w:hint="eastAsia"/>
                <w:kern w:val="0"/>
                <w:sz w:val="28"/>
                <w:szCs w:val="28"/>
              </w:rPr>
              <w:t>将大体积的植物固体原材料进行加工使其体积变小，比表面积增大的过程。</w:t>
            </w:r>
          </w:p>
        </w:tc>
      </w:tr>
      <w:tr w:rsidR="00902A36">
        <w:tc>
          <w:tcPr>
            <w:tcW w:w="2258" w:type="dxa"/>
            <w:vAlign w:val="center"/>
          </w:tcPr>
          <w:p w:rsidR="00902A36" w:rsidRPr="007D1D29" w:rsidRDefault="00185488">
            <w:pPr>
              <w:pStyle w:val="ad"/>
              <w:adjustRightInd w:val="0"/>
              <w:snapToGrid w:val="0"/>
              <w:spacing w:beforeLines="20" w:before="62" w:afterLines="20" w:after="62"/>
              <w:ind w:firstLineChars="0" w:firstLine="0"/>
              <w:jc w:val="center"/>
              <w:rPr>
                <w:rFonts w:asciiTheme="minorEastAsia" w:hAnsiTheme="minorEastAsia" w:cstheme="minorEastAsia"/>
                <w:kern w:val="0"/>
                <w:sz w:val="28"/>
                <w:szCs w:val="28"/>
              </w:rPr>
            </w:pPr>
            <w:r w:rsidRPr="007D1D29">
              <w:rPr>
                <w:rFonts w:asciiTheme="minorEastAsia" w:hAnsiTheme="minorEastAsia" w:cstheme="minorEastAsia" w:hint="eastAsia"/>
                <w:kern w:val="0"/>
                <w:sz w:val="28"/>
                <w:szCs w:val="28"/>
              </w:rPr>
              <w:t>提取</w:t>
            </w:r>
          </w:p>
        </w:tc>
        <w:tc>
          <w:tcPr>
            <w:tcW w:w="5937" w:type="dxa"/>
            <w:vAlign w:val="center"/>
          </w:tcPr>
          <w:p w:rsidR="00902A36" w:rsidRPr="007D1D29" w:rsidRDefault="00185488">
            <w:pPr>
              <w:pStyle w:val="ad"/>
              <w:adjustRightInd w:val="0"/>
              <w:snapToGrid w:val="0"/>
              <w:spacing w:beforeLines="20" w:before="62" w:afterLines="20" w:after="62"/>
              <w:ind w:firstLineChars="0" w:firstLine="0"/>
              <w:jc w:val="left"/>
              <w:rPr>
                <w:rFonts w:asciiTheme="minorEastAsia" w:hAnsiTheme="minorEastAsia" w:cstheme="minorEastAsia"/>
                <w:kern w:val="0"/>
                <w:sz w:val="28"/>
                <w:szCs w:val="28"/>
              </w:rPr>
            </w:pPr>
            <w:r w:rsidRPr="007D1D29">
              <w:rPr>
                <w:rFonts w:asciiTheme="minorEastAsia" w:hAnsiTheme="minorEastAsia" w:cstheme="minorEastAsia" w:hint="eastAsia"/>
                <w:kern w:val="0"/>
                <w:sz w:val="28"/>
                <w:szCs w:val="28"/>
              </w:rPr>
              <w:t>选取适宜的溶剂和（或）适当的方法使植物中特定成分或特定组分充分转移出来，再与剩余固形物分开的过程。提取方法包括溶剂提取、酶法提取和物理压榨等。</w:t>
            </w:r>
          </w:p>
        </w:tc>
      </w:tr>
      <w:tr w:rsidR="00902A36">
        <w:tc>
          <w:tcPr>
            <w:tcW w:w="2258" w:type="dxa"/>
            <w:vAlign w:val="center"/>
          </w:tcPr>
          <w:p w:rsidR="00902A36" w:rsidRPr="007D1D29" w:rsidRDefault="00185488">
            <w:pPr>
              <w:pStyle w:val="ad"/>
              <w:adjustRightInd w:val="0"/>
              <w:snapToGrid w:val="0"/>
              <w:spacing w:beforeLines="20" w:before="62" w:afterLines="20" w:after="62"/>
              <w:ind w:firstLineChars="0" w:firstLine="0"/>
              <w:jc w:val="center"/>
              <w:rPr>
                <w:rFonts w:asciiTheme="minorEastAsia" w:hAnsiTheme="minorEastAsia" w:cstheme="minorEastAsia"/>
                <w:kern w:val="0"/>
                <w:sz w:val="28"/>
                <w:szCs w:val="28"/>
              </w:rPr>
            </w:pPr>
            <w:r w:rsidRPr="007D1D29">
              <w:rPr>
                <w:rFonts w:asciiTheme="minorEastAsia" w:hAnsiTheme="minorEastAsia" w:cstheme="minorEastAsia" w:hint="eastAsia"/>
                <w:kern w:val="0"/>
                <w:sz w:val="28"/>
                <w:szCs w:val="28"/>
              </w:rPr>
              <w:t>酶法提取</w:t>
            </w:r>
          </w:p>
        </w:tc>
        <w:tc>
          <w:tcPr>
            <w:tcW w:w="5937" w:type="dxa"/>
            <w:vAlign w:val="center"/>
          </w:tcPr>
          <w:p w:rsidR="00902A36" w:rsidRPr="007D1D29" w:rsidRDefault="00185488">
            <w:pPr>
              <w:pStyle w:val="ad"/>
              <w:adjustRightInd w:val="0"/>
              <w:snapToGrid w:val="0"/>
              <w:spacing w:beforeLines="20" w:before="62" w:afterLines="20" w:after="62"/>
              <w:ind w:firstLineChars="0" w:firstLine="0"/>
              <w:jc w:val="left"/>
              <w:rPr>
                <w:rFonts w:asciiTheme="minorEastAsia" w:hAnsiTheme="minorEastAsia" w:cstheme="minorEastAsia"/>
                <w:kern w:val="0"/>
                <w:sz w:val="28"/>
                <w:szCs w:val="28"/>
              </w:rPr>
            </w:pPr>
            <w:r w:rsidRPr="007D1D29">
              <w:rPr>
                <w:rFonts w:asciiTheme="minorEastAsia" w:hAnsiTheme="minorEastAsia" w:cstheme="minorEastAsia" w:hint="eastAsia"/>
                <w:kern w:val="0"/>
                <w:sz w:val="28"/>
                <w:szCs w:val="28"/>
              </w:rPr>
              <w:t>根据植物细胞壁的构成，利用</w:t>
            </w:r>
            <w:proofErr w:type="gramStart"/>
            <w:r w:rsidRPr="007D1D29">
              <w:rPr>
                <w:rFonts w:asciiTheme="minorEastAsia" w:hAnsiTheme="minorEastAsia" w:cstheme="minorEastAsia" w:hint="eastAsia"/>
                <w:kern w:val="0"/>
                <w:sz w:val="28"/>
                <w:szCs w:val="28"/>
              </w:rPr>
              <w:t>酶反应</w:t>
            </w:r>
            <w:proofErr w:type="gramEnd"/>
            <w:r w:rsidRPr="007D1D29">
              <w:rPr>
                <w:rFonts w:asciiTheme="minorEastAsia" w:hAnsiTheme="minorEastAsia" w:cstheme="minorEastAsia" w:hint="eastAsia"/>
                <w:kern w:val="0"/>
                <w:sz w:val="28"/>
                <w:szCs w:val="28"/>
              </w:rPr>
              <w:t>所具有高</w:t>
            </w:r>
            <w:r w:rsidRPr="007D1D29">
              <w:rPr>
                <w:rFonts w:asciiTheme="minorEastAsia" w:hAnsiTheme="minorEastAsia" w:cstheme="minorEastAsia" w:hint="eastAsia"/>
                <w:kern w:val="0"/>
                <w:sz w:val="28"/>
                <w:szCs w:val="28"/>
              </w:rPr>
              <w:lastRenderedPageBreak/>
              <w:t>效和专一性的特点，选择相应的酶，将细胞壁的组成成分（纤维素、半纤维素和果胶质）水解或降解，破坏细胞壁结构，使植物细胞内的成分溶解、混悬或胶溶于溶剂中的提取方法。</w:t>
            </w:r>
          </w:p>
        </w:tc>
      </w:tr>
      <w:tr w:rsidR="00902A36">
        <w:tc>
          <w:tcPr>
            <w:tcW w:w="2258" w:type="dxa"/>
            <w:vAlign w:val="center"/>
          </w:tcPr>
          <w:p w:rsidR="00902A36" w:rsidRPr="007D1D29" w:rsidRDefault="00185488">
            <w:pPr>
              <w:pStyle w:val="ad"/>
              <w:adjustRightInd w:val="0"/>
              <w:snapToGrid w:val="0"/>
              <w:spacing w:beforeLines="20" w:before="62" w:afterLines="20" w:after="62"/>
              <w:ind w:firstLineChars="0" w:firstLine="0"/>
              <w:jc w:val="center"/>
              <w:rPr>
                <w:rFonts w:asciiTheme="minorEastAsia" w:hAnsiTheme="minorEastAsia" w:cstheme="minorEastAsia"/>
                <w:kern w:val="0"/>
                <w:sz w:val="28"/>
                <w:szCs w:val="28"/>
              </w:rPr>
            </w:pPr>
            <w:r w:rsidRPr="007D1D29">
              <w:rPr>
                <w:rFonts w:asciiTheme="minorEastAsia" w:hAnsiTheme="minorEastAsia" w:cstheme="minorEastAsia" w:hint="eastAsia"/>
                <w:kern w:val="0"/>
                <w:sz w:val="28"/>
                <w:szCs w:val="28"/>
              </w:rPr>
              <w:lastRenderedPageBreak/>
              <w:t>浓缩</w:t>
            </w:r>
          </w:p>
        </w:tc>
        <w:tc>
          <w:tcPr>
            <w:tcW w:w="5937" w:type="dxa"/>
            <w:vAlign w:val="center"/>
          </w:tcPr>
          <w:p w:rsidR="00902A36" w:rsidRPr="007D1D29" w:rsidRDefault="00185488">
            <w:pPr>
              <w:pStyle w:val="ad"/>
              <w:adjustRightInd w:val="0"/>
              <w:snapToGrid w:val="0"/>
              <w:spacing w:beforeLines="20" w:before="62" w:afterLines="20" w:after="62"/>
              <w:ind w:firstLineChars="0" w:firstLine="0"/>
              <w:jc w:val="left"/>
              <w:rPr>
                <w:rFonts w:asciiTheme="minorEastAsia" w:hAnsiTheme="minorEastAsia" w:cstheme="minorEastAsia"/>
                <w:kern w:val="0"/>
                <w:sz w:val="28"/>
                <w:szCs w:val="28"/>
              </w:rPr>
            </w:pPr>
            <w:r w:rsidRPr="007D1D29">
              <w:rPr>
                <w:rFonts w:asciiTheme="minorEastAsia" w:hAnsiTheme="minorEastAsia" w:cstheme="minorEastAsia" w:hint="eastAsia"/>
                <w:kern w:val="0"/>
                <w:sz w:val="28"/>
                <w:szCs w:val="28"/>
              </w:rPr>
              <w:t>利用加热蒸发的原理或使用物理方法去除溶剂，使料液体积减小、提高浓度的过程。</w:t>
            </w:r>
          </w:p>
        </w:tc>
      </w:tr>
      <w:tr w:rsidR="00902A36">
        <w:tc>
          <w:tcPr>
            <w:tcW w:w="2258" w:type="dxa"/>
            <w:vAlign w:val="center"/>
          </w:tcPr>
          <w:p w:rsidR="00902A36" w:rsidRPr="007D1D29" w:rsidRDefault="00185488">
            <w:pPr>
              <w:pStyle w:val="ad"/>
              <w:adjustRightInd w:val="0"/>
              <w:snapToGrid w:val="0"/>
              <w:spacing w:beforeLines="20" w:before="62" w:afterLines="20" w:after="62"/>
              <w:ind w:firstLineChars="0" w:firstLine="0"/>
              <w:jc w:val="center"/>
              <w:rPr>
                <w:rFonts w:asciiTheme="minorEastAsia" w:hAnsiTheme="minorEastAsia" w:cstheme="minorEastAsia"/>
                <w:kern w:val="0"/>
                <w:sz w:val="28"/>
                <w:szCs w:val="28"/>
              </w:rPr>
            </w:pPr>
            <w:r w:rsidRPr="007D1D29">
              <w:rPr>
                <w:rFonts w:asciiTheme="minorEastAsia" w:hAnsiTheme="minorEastAsia" w:cstheme="minorEastAsia" w:hint="eastAsia"/>
                <w:kern w:val="0"/>
                <w:sz w:val="28"/>
                <w:szCs w:val="28"/>
              </w:rPr>
              <w:t>干燥</w:t>
            </w:r>
          </w:p>
        </w:tc>
        <w:tc>
          <w:tcPr>
            <w:tcW w:w="5937" w:type="dxa"/>
            <w:vAlign w:val="center"/>
          </w:tcPr>
          <w:p w:rsidR="00902A36" w:rsidRPr="007D1D29" w:rsidRDefault="00185488">
            <w:pPr>
              <w:pStyle w:val="ad"/>
              <w:adjustRightInd w:val="0"/>
              <w:snapToGrid w:val="0"/>
              <w:spacing w:beforeLines="20" w:before="62" w:afterLines="20" w:after="62"/>
              <w:ind w:firstLineChars="0" w:firstLine="0"/>
              <w:jc w:val="left"/>
              <w:rPr>
                <w:rFonts w:asciiTheme="minorEastAsia" w:hAnsiTheme="minorEastAsia" w:cstheme="minorEastAsia"/>
                <w:kern w:val="0"/>
                <w:sz w:val="28"/>
                <w:szCs w:val="28"/>
              </w:rPr>
            </w:pPr>
            <w:r w:rsidRPr="007D1D29">
              <w:rPr>
                <w:rFonts w:asciiTheme="minorEastAsia" w:hAnsiTheme="minorEastAsia" w:cstheme="minorEastAsia" w:hint="eastAsia"/>
                <w:kern w:val="0"/>
                <w:sz w:val="28"/>
                <w:szCs w:val="28"/>
              </w:rPr>
              <w:t>去除原料中水分（或溶剂）的过程。</w:t>
            </w:r>
          </w:p>
        </w:tc>
      </w:tr>
      <w:tr w:rsidR="00902A36">
        <w:tc>
          <w:tcPr>
            <w:tcW w:w="2258" w:type="dxa"/>
            <w:vAlign w:val="center"/>
          </w:tcPr>
          <w:p w:rsidR="00902A36" w:rsidRPr="007D1D29" w:rsidRDefault="00185488">
            <w:pPr>
              <w:pStyle w:val="ad"/>
              <w:adjustRightInd w:val="0"/>
              <w:snapToGrid w:val="0"/>
              <w:spacing w:beforeLines="20" w:before="62" w:afterLines="20" w:after="62"/>
              <w:ind w:firstLineChars="0" w:firstLine="0"/>
              <w:jc w:val="center"/>
              <w:rPr>
                <w:rFonts w:asciiTheme="minorEastAsia" w:hAnsiTheme="minorEastAsia" w:cstheme="minorEastAsia"/>
                <w:kern w:val="0"/>
                <w:sz w:val="28"/>
                <w:szCs w:val="28"/>
              </w:rPr>
            </w:pPr>
            <w:r w:rsidRPr="007D1D29">
              <w:rPr>
                <w:rFonts w:asciiTheme="minorEastAsia" w:hAnsiTheme="minorEastAsia" w:cstheme="minorEastAsia" w:hint="eastAsia"/>
                <w:kern w:val="0"/>
                <w:sz w:val="28"/>
                <w:szCs w:val="28"/>
              </w:rPr>
              <w:t>分离</w:t>
            </w:r>
          </w:p>
        </w:tc>
        <w:tc>
          <w:tcPr>
            <w:tcW w:w="5937" w:type="dxa"/>
            <w:vAlign w:val="center"/>
          </w:tcPr>
          <w:p w:rsidR="00902A36" w:rsidRPr="007D1D29" w:rsidRDefault="00185488">
            <w:pPr>
              <w:pStyle w:val="ad"/>
              <w:adjustRightInd w:val="0"/>
              <w:snapToGrid w:val="0"/>
              <w:spacing w:beforeLines="20" w:before="62" w:afterLines="20" w:after="62"/>
              <w:ind w:firstLineChars="0" w:firstLine="0"/>
              <w:jc w:val="left"/>
              <w:rPr>
                <w:rFonts w:asciiTheme="minorEastAsia" w:hAnsiTheme="minorEastAsia" w:cstheme="minorEastAsia"/>
                <w:kern w:val="0"/>
                <w:sz w:val="28"/>
                <w:szCs w:val="28"/>
              </w:rPr>
            </w:pPr>
            <w:r w:rsidRPr="007D1D29">
              <w:rPr>
                <w:rFonts w:asciiTheme="minorEastAsia" w:hAnsiTheme="minorEastAsia" w:cstheme="minorEastAsia" w:hint="eastAsia"/>
                <w:kern w:val="0"/>
                <w:sz w:val="28"/>
                <w:szCs w:val="28"/>
              </w:rPr>
              <w:t>利用混合物中各组分在物理性质或化学性质上的差异，通过适当的装置或方法使各组分分配至不同的空间区域或在不同的时间分配至同一空间区域的过程。</w:t>
            </w:r>
          </w:p>
        </w:tc>
      </w:tr>
    </w:tbl>
    <w:p w:rsidR="00902A36" w:rsidRDefault="00185488">
      <w:pPr>
        <w:pStyle w:val="ad"/>
        <w:adjustRightInd w:val="0"/>
        <w:snapToGrid w:val="0"/>
        <w:spacing w:beforeLines="50" w:before="156" w:line="640" w:lineRule="exact"/>
        <w:ind w:firstLine="640"/>
        <w:outlineLvl w:val="1"/>
        <w:rPr>
          <w:rFonts w:ascii="Times New Roman" w:eastAsia="楷体_GB2312" w:hAnsi="Times New Roman" w:cs="Times New Roman"/>
          <w:kern w:val="0"/>
          <w:sz w:val="32"/>
          <w:szCs w:val="32"/>
        </w:rPr>
      </w:pPr>
      <w:bookmarkStart w:id="20" w:name="_Toc215669173"/>
      <w:r>
        <w:rPr>
          <w:rFonts w:ascii="Times New Roman" w:eastAsia="楷体_GB2312" w:hAnsi="Times New Roman" w:cs="Times New Roman"/>
          <w:kern w:val="0"/>
          <w:sz w:val="32"/>
          <w:szCs w:val="32"/>
        </w:rPr>
        <w:t>（四）主要化学组成</w:t>
      </w:r>
      <w:bookmarkEnd w:id="20"/>
    </w:p>
    <w:p w:rsidR="00902A36" w:rsidRDefault="00185488">
      <w:pPr>
        <w:pStyle w:val="ad"/>
        <w:adjustRightInd w:val="0"/>
        <w:snapToGrid w:val="0"/>
        <w:spacing w:line="640" w:lineRule="exact"/>
        <w:ind w:firstLine="640"/>
        <w:rPr>
          <w:rFonts w:ascii="Times New Roman" w:eastAsia="仿宋_GB2312" w:hAnsi="Times New Roman" w:cs="Times New Roman"/>
          <w:kern w:val="0"/>
          <w:sz w:val="32"/>
          <w:szCs w:val="32"/>
        </w:rPr>
      </w:pPr>
      <w:proofErr w:type="gramStart"/>
      <w:r>
        <w:rPr>
          <w:rFonts w:ascii="Times New Roman" w:eastAsia="仿宋_GB2312" w:hAnsi="Times New Roman" w:cs="Times New Roman"/>
          <w:kern w:val="0"/>
          <w:sz w:val="32"/>
          <w:szCs w:val="32"/>
        </w:rPr>
        <w:t>注备人</w:t>
      </w:r>
      <w:proofErr w:type="gramEnd"/>
      <w:r>
        <w:rPr>
          <w:rFonts w:ascii="Times New Roman" w:eastAsia="仿宋_GB2312" w:hAnsi="Times New Roman" w:cs="Times New Roman"/>
          <w:kern w:val="0"/>
          <w:sz w:val="32"/>
          <w:szCs w:val="32"/>
        </w:rPr>
        <w:t>应当对植物新原料的主要化学组成情况进行充分研究，必要时对其中某种</w:t>
      </w:r>
      <w:proofErr w:type="gramStart"/>
      <w:r>
        <w:rPr>
          <w:rFonts w:ascii="Times New Roman" w:eastAsia="仿宋_GB2312" w:hAnsi="Times New Roman" w:cs="Times New Roman"/>
          <w:kern w:val="0"/>
          <w:sz w:val="32"/>
          <w:szCs w:val="32"/>
        </w:rPr>
        <w:t>或者某组化学</w:t>
      </w:r>
      <w:proofErr w:type="gramEnd"/>
      <w:r>
        <w:rPr>
          <w:rFonts w:ascii="Times New Roman" w:eastAsia="仿宋_GB2312" w:hAnsi="Times New Roman" w:cs="Times New Roman"/>
          <w:kern w:val="0"/>
          <w:sz w:val="32"/>
          <w:szCs w:val="32"/>
        </w:rPr>
        <w:t>物质进行定性和</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或定量分析，以及对化学结构进行分析鉴定，作为新原料情形分类和规范命名的重要依据。特别地，对于定向富集某种或者某类具有相似结构的化合物，且达到一定比例的，应当根据具体组成情况，按照</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五、新原料命名规则</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中的相关要求，作为一般提取物、组分提取物或者纯化提取物进行命名。</w:t>
      </w:r>
    </w:p>
    <w:p w:rsidR="00902A36" w:rsidRDefault="00185488">
      <w:pPr>
        <w:adjustRightInd w:val="0"/>
        <w:snapToGrid w:val="0"/>
        <w:spacing w:line="640" w:lineRule="exact"/>
        <w:ind w:firstLineChars="200" w:firstLine="640"/>
        <w:outlineLvl w:val="0"/>
        <w:rPr>
          <w:rFonts w:ascii="Times New Roman" w:eastAsia="黑体" w:hAnsi="Times New Roman" w:cs="Times New Roman"/>
          <w:sz w:val="32"/>
          <w:szCs w:val="32"/>
        </w:rPr>
      </w:pPr>
      <w:bookmarkStart w:id="21" w:name="_Toc215669174"/>
      <w:r>
        <w:rPr>
          <w:rFonts w:ascii="Times New Roman" w:eastAsia="黑体" w:hAnsi="Times New Roman" w:cs="Times New Roman"/>
          <w:sz w:val="32"/>
          <w:szCs w:val="32"/>
        </w:rPr>
        <w:t>五、新原料命名规则</w:t>
      </w:r>
      <w:bookmarkEnd w:id="21"/>
    </w:p>
    <w:p w:rsidR="00902A36" w:rsidRDefault="00185488">
      <w:pPr>
        <w:adjustRightInd w:val="0"/>
        <w:snapToGrid w:val="0"/>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在上述基础信息研究基础上，按照下列不同情形植物新原料的命名规则，制定科学合理的原料中文名称。根据制备工艺特点，分为简单加工获得和提取获得两大类。</w:t>
      </w:r>
    </w:p>
    <w:p w:rsidR="00902A36" w:rsidRDefault="00185488">
      <w:pPr>
        <w:pStyle w:val="ad"/>
        <w:adjustRightInd w:val="0"/>
        <w:snapToGrid w:val="0"/>
        <w:spacing w:line="640" w:lineRule="exact"/>
        <w:ind w:firstLine="640"/>
        <w:outlineLvl w:val="1"/>
        <w:rPr>
          <w:rFonts w:ascii="Times New Roman" w:eastAsia="楷体_GB2312" w:hAnsi="Times New Roman" w:cs="Times New Roman"/>
          <w:kern w:val="0"/>
          <w:sz w:val="32"/>
          <w:szCs w:val="32"/>
        </w:rPr>
      </w:pPr>
      <w:bookmarkStart w:id="22" w:name="_Toc215669175"/>
      <w:r>
        <w:rPr>
          <w:rFonts w:ascii="Times New Roman" w:eastAsia="楷体_GB2312" w:hAnsi="Times New Roman" w:cs="Times New Roman"/>
          <w:kern w:val="0"/>
          <w:sz w:val="32"/>
          <w:szCs w:val="32"/>
        </w:rPr>
        <w:t>（一）简单加工获得的新原料</w:t>
      </w:r>
      <w:bookmarkEnd w:id="22"/>
    </w:p>
    <w:p w:rsidR="00902A36" w:rsidRDefault="00185488">
      <w:pPr>
        <w:adjustRightInd w:val="0"/>
        <w:snapToGrid w:val="0"/>
        <w:spacing w:line="640" w:lineRule="exact"/>
        <w:ind w:firstLineChars="200" w:firstLine="640"/>
        <w:rPr>
          <w:rFonts w:ascii="Times New Roman" w:eastAsia="仿宋_GB2312" w:hAnsi="Times New Roman" w:cs="Times New Roman"/>
          <w:sz w:val="32"/>
          <w:szCs w:val="32"/>
        </w:rPr>
      </w:pPr>
      <w:bookmarkStart w:id="23" w:name="_Toc190177691"/>
      <w:r>
        <w:rPr>
          <w:rFonts w:ascii="Times New Roman" w:eastAsia="仿宋_GB2312" w:hAnsi="Times New Roman" w:cs="Times New Roman"/>
          <w:sz w:val="32"/>
          <w:szCs w:val="32"/>
        </w:rPr>
        <w:t>指仅对植物进行简单加工，未对其中组分进行特定提取、</w:t>
      </w:r>
      <w:r>
        <w:rPr>
          <w:rFonts w:ascii="Times New Roman" w:eastAsia="仿宋_GB2312" w:hAnsi="Times New Roman" w:cs="Times New Roman"/>
          <w:sz w:val="32"/>
          <w:szCs w:val="32"/>
        </w:rPr>
        <w:lastRenderedPageBreak/>
        <w:t>分离的新原料，主要包括使用植物原型和简单机械处理两种情形。</w:t>
      </w:r>
      <w:bookmarkEnd w:id="23"/>
    </w:p>
    <w:p w:rsidR="00902A36" w:rsidRDefault="00185488">
      <w:pPr>
        <w:adjustRightInd w:val="0"/>
        <w:snapToGrid w:val="0"/>
        <w:spacing w:line="640" w:lineRule="exact"/>
        <w:ind w:firstLineChars="200" w:firstLine="640"/>
        <w:rPr>
          <w:rFonts w:ascii="Times New Roman" w:eastAsia="仿宋_GB2312" w:hAnsi="Times New Roman" w:cs="Times New Roman"/>
          <w:bCs/>
          <w:sz w:val="32"/>
          <w:szCs w:val="32"/>
        </w:rPr>
      </w:pPr>
      <w:bookmarkStart w:id="24" w:name="_Toc190177692"/>
      <w:r>
        <w:rPr>
          <w:rFonts w:ascii="Times New Roman" w:eastAsia="仿宋_GB2312" w:hAnsi="Times New Roman" w:cs="Times New Roman"/>
          <w:bCs/>
          <w:sz w:val="32"/>
          <w:szCs w:val="32"/>
        </w:rPr>
        <w:t xml:space="preserve">1. </w:t>
      </w:r>
      <w:r>
        <w:rPr>
          <w:rFonts w:ascii="Times New Roman" w:eastAsia="仿宋_GB2312" w:hAnsi="Times New Roman" w:cs="Times New Roman"/>
          <w:bCs/>
          <w:sz w:val="32"/>
          <w:szCs w:val="32"/>
        </w:rPr>
        <w:t>使用植物原型的新原料</w:t>
      </w:r>
      <w:bookmarkEnd w:id="24"/>
    </w:p>
    <w:p w:rsidR="00902A36" w:rsidRDefault="00185488">
      <w:pPr>
        <w:adjustRightInd w:val="0"/>
        <w:snapToGrid w:val="0"/>
        <w:spacing w:line="640" w:lineRule="exact"/>
        <w:ind w:firstLineChars="200" w:firstLine="640"/>
        <w:rPr>
          <w:rFonts w:ascii="Times New Roman" w:eastAsia="仿宋_GB2312" w:hAnsi="Times New Roman" w:cs="Times New Roman"/>
          <w:bCs/>
          <w:sz w:val="32"/>
          <w:szCs w:val="32"/>
        </w:rPr>
      </w:pPr>
      <w:bookmarkStart w:id="25" w:name="_Toc190177693"/>
      <w:r>
        <w:rPr>
          <w:rFonts w:ascii="Times New Roman" w:eastAsia="仿宋_GB2312" w:hAnsi="Times New Roman" w:cs="Times New Roman"/>
          <w:bCs/>
          <w:sz w:val="32"/>
          <w:szCs w:val="32"/>
        </w:rPr>
        <w:t>使用植物原型的新原料，可主要根据来源植物和使用部位对新原料进行命名，如</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玫瑰（</w:t>
      </w:r>
      <w:r>
        <w:rPr>
          <w:rFonts w:ascii="Times New Roman" w:eastAsia="仿宋_GB2312" w:hAnsi="Times New Roman" w:cs="Times New Roman"/>
          <w:bCs/>
          <w:sz w:val="32"/>
          <w:szCs w:val="32"/>
        </w:rPr>
        <w:t>ROSA RUGOSA</w:t>
      </w:r>
      <w:r>
        <w:rPr>
          <w:rFonts w:ascii="Times New Roman" w:eastAsia="仿宋_GB2312" w:hAnsi="Times New Roman" w:cs="Times New Roman"/>
          <w:bCs/>
          <w:sz w:val="32"/>
          <w:szCs w:val="32"/>
        </w:rPr>
        <w:t>）花</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w:t>
      </w:r>
      <w:bookmarkEnd w:id="25"/>
    </w:p>
    <w:p w:rsidR="00902A36" w:rsidRDefault="00185488">
      <w:pPr>
        <w:adjustRightInd w:val="0"/>
        <w:snapToGrid w:val="0"/>
        <w:spacing w:line="640" w:lineRule="exact"/>
        <w:ind w:firstLineChars="200" w:firstLine="640"/>
        <w:rPr>
          <w:rFonts w:ascii="Times New Roman" w:eastAsia="仿宋_GB2312" w:hAnsi="Times New Roman" w:cs="Times New Roman"/>
          <w:bCs/>
          <w:sz w:val="32"/>
          <w:szCs w:val="32"/>
        </w:rPr>
      </w:pPr>
      <w:bookmarkStart w:id="26" w:name="_Toc190177694"/>
      <w:r>
        <w:rPr>
          <w:rFonts w:ascii="Times New Roman" w:eastAsia="仿宋_GB2312" w:hAnsi="Times New Roman" w:cs="Times New Roman"/>
          <w:bCs/>
          <w:sz w:val="32"/>
          <w:szCs w:val="32"/>
        </w:rPr>
        <w:t xml:space="preserve">2. </w:t>
      </w:r>
      <w:r>
        <w:rPr>
          <w:rFonts w:ascii="Times New Roman" w:eastAsia="仿宋_GB2312" w:hAnsi="Times New Roman" w:cs="Times New Roman"/>
          <w:bCs/>
          <w:sz w:val="32"/>
          <w:szCs w:val="32"/>
        </w:rPr>
        <w:t>简单机械处理的新原料</w:t>
      </w:r>
      <w:bookmarkEnd w:id="26"/>
    </w:p>
    <w:p w:rsidR="00902A36" w:rsidRDefault="00185488">
      <w:pPr>
        <w:adjustRightInd w:val="0"/>
        <w:snapToGrid w:val="0"/>
        <w:spacing w:line="640" w:lineRule="exact"/>
        <w:ind w:firstLineChars="200" w:firstLine="640"/>
        <w:rPr>
          <w:rFonts w:ascii="Times New Roman" w:eastAsia="仿宋_GB2312" w:hAnsi="Times New Roman" w:cs="Times New Roman"/>
          <w:sz w:val="32"/>
          <w:szCs w:val="32"/>
        </w:rPr>
      </w:pPr>
      <w:bookmarkStart w:id="27" w:name="_Toc190177695"/>
      <w:r>
        <w:rPr>
          <w:rFonts w:ascii="Times New Roman" w:eastAsia="仿宋_GB2312" w:hAnsi="Times New Roman" w:cs="Times New Roman"/>
          <w:bCs/>
          <w:sz w:val="32"/>
          <w:szCs w:val="32"/>
        </w:rPr>
        <w:t>对于植物经简单机械处理（如干燥、粉碎）后获得的新原料，其命名可</w:t>
      </w:r>
      <w:r>
        <w:rPr>
          <w:rFonts w:ascii="Times New Roman" w:eastAsia="仿宋_GB2312" w:hAnsi="Times New Roman" w:cs="Times New Roman"/>
          <w:bCs/>
          <w:sz w:val="32"/>
          <w:szCs w:val="32"/>
        </w:rPr>
        <w:t>在来源</w:t>
      </w:r>
      <w:r>
        <w:rPr>
          <w:rFonts w:ascii="Times New Roman" w:eastAsia="仿宋_GB2312" w:hAnsi="Times New Roman" w:cs="Times New Roman"/>
          <w:sz w:val="32"/>
          <w:szCs w:val="32"/>
        </w:rPr>
        <w:t>植物、使用部位信息基础上增加形态信息，如</w:t>
      </w:r>
      <w:r>
        <w:rPr>
          <w:rFonts w:ascii="Times New Roman" w:eastAsia="仿宋_GB2312" w:hAnsi="Times New Roman" w:cs="Times New Roman"/>
          <w:sz w:val="32"/>
          <w:szCs w:val="32"/>
        </w:rPr>
        <w:t>“</w:t>
      </w:r>
      <w:r>
        <w:rPr>
          <w:rFonts w:ascii="Times New Roman" w:eastAsia="仿宋_GB2312" w:hAnsi="Times New Roman" w:cs="Times New Roman"/>
          <w:sz w:val="32"/>
          <w:szCs w:val="32"/>
        </w:rPr>
        <w:t>白桦（</w:t>
      </w:r>
      <w:r>
        <w:rPr>
          <w:rFonts w:ascii="Times New Roman" w:eastAsia="仿宋_GB2312" w:hAnsi="Times New Roman" w:cs="Times New Roman"/>
          <w:sz w:val="32"/>
          <w:szCs w:val="32"/>
        </w:rPr>
        <w:t>BETULA ALBA</w:t>
      </w:r>
      <w:r>
        <w:rPr>
          <w:rFonts w:ascii="Times New Roman" w:eastAsia="仿宋_GB2312" w:hAnsi="Times New Roman" w:cs="Times New Roman"/>
          <w:sz w:val="32"/>
          <w:szCs w:val="32"/>
        </w:rPr>
        <w:t>）树皮粉</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朱槿（</w:t>
      </w:r>
      <w:r>
        <w:rPr>
          <w:rFonts w:ascii="Times New Roman" w:eastAsia="仿宋_GB2312" w:hAnsi="Times New Roman" w:cs="Times New Roman"/>
          <w:sz w:val="32"/>
          <w:szCs w:val="32"/>
        </w:rPr>
        <w:t>HIBISCUS ROSA-SINENSIS</w:t>
      </w:r>
      <w:r>
        <w:rPr>
          <w:rFonts w:ascii="Times New Roman" w:eastAsia="仿宋_GB2312" w:hAnsi="Times New Roman" w:cs="Times New Roman"/>
          <w:sz w:val="32"/>
          <w:szCs w:val="32"/>
        </w:rPr>
        <w:t>）花末</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等。</w:t>
      </w:r>
      <w:bookmarkEnd w:id="27"/>
    </w:p>
    <w:p w:rsidR="00902A36" w:rsidRDefault="00185488">
      <w:pPr>
        <w:pStyle w:val="ad"/>
        <w:adjustRightInd w:val="0"/>
        <w:snapToGrid w:val="0"/>
        <w:spacing w:line="640" w:lineRule="exact"/>
        <w:ind w:firstLine="640"/>
        <w:outlineLvl w:val="1"/>
        <w:rPr>
          <w:rFonts w:ascii="Times New Roman" w:eastAsia="楷体_GB2312" w:hAnsi="Times New Roman" w:cs="Times New Roman"/>
          <w:kern w:val="0"/>
          <w:sz w:val="32"/>
          <w:szCs w:val="32"/>
        </w:rPr>
      </w:pPr>
      <w:bookmarkStart w:id="28" w:name="_Toc215669176"/>
      <w:r>
        <w:rPr>
          <w:rFonts w:ascii="Times New Roman" w:eastAsia="楷体_GB2312" w:hAnsi="Times New Roman" w:cs="Times New Roman"/>
          <w:kern w:val="0"/>
          <w:sz w:val="32"/>
          <w:szCs w:val="32"/>
        </w:rPr>
        <w:t>（二）提取获得的新原料</w:t>
      </w:r>
      <w:bookmarkEnd w:id="28"/>
    </w:p>
    <w:p w:rsidR="00902A36" w:rsidRDefault="00185488">
      <w:pPr>
        <w:adjustRightInd w:val="0"/>
        <w:snapToGrid w:val="0"/>
        <w:spacing w:line="640" w:lineRule="exact"/>
        <w:ind w:firstLineChars="200" w:firstLine="640"/>
        <w:rPr>
          <w:rFonts w:ascii="Times New Roman" w:eastAsia="仿宋_GB2312" w:hAnsi="Times New Roman" w:cs="Times New Roman"/>
          <w:sz w:val="32"/>
          <w:szCs w:val="32"/>
        </w:rPr>
      </w:pPr>
      <w:bookmarkStart w:id="29" w:name="_Toc190177697"/>
      <w:r>
        <w:rPr>
          <w:rFonts w:ascii="Times New Roman" w:eastAsia="仿宋_GB2312" w:hAnsi="Times New Roman" w:cs="Times New Roman"/>
          <w:sz w:val="32"/>
          <w:szCs w:val="32"/>
        </w:rPr>
        <w:t>指经提取等特定工艺后获得的植物新原料。根据命名特点，</w:t>
      </w:r>
      <w:r>
        <w:rPr>
          <w:rFonts w:ascii="Times New Roman" w:eastAsia="仿宋_GB2312" w:hAnsi="Times New Roman" w:cs="Times New Roman"/>
          <w:sz w:val="32"/>
          <w:szCs w:val="32"/>
        </w:rPr>
        <w:t>可进一步分为特定名称提取物、一般提取物、组分提取物和纯化提取物。</w:t>
      </w:r>
      <w:bookmarkEnd w:id="29"/>
    </w:p>
    <w:p w:rsidR="00902A36" w:rsidRDefault="00185488">
      <w:pPr>
        <w:adjustRightInd w:val="0"/>
        <w:snapToGrid w:val="0"/>
        <w:spacing w:line="640" w:lineRule="exact"/>
        <w:ind w:firstLineChars="200" w:firstLine="640"/>
        <w:rPr>
          <w:rFonts w:ascii="Times New Roman" w:eastAsia="仿宋_GB2312" w:hAnsi="Times New Roman" w:cs="Times New Roman"/>
          <w:sz w:val="32"/>
          <w:szCs w:val="32"/>
        </w:rPr>
      </w:pPr>
      <w:bookmarkStart w:id="30" w:name="_Toc190177698"/>
      <w:r>
        <w:rPr>
          <w:rFonts w:ascii="Times New Roman" w:eastAsia="仿宋_GB2312" w:hAnsi="Times New Roman" w:cs="Times New Roman"/>
          <w:sz w:val="32"/>
          <w:szCs w:val="32"/>
        </w:rPr>
        <w:t xml:space="preserve">1. </w:t>
      </w:r>
      <w:r>
        <w:rPr>
          <w:rFonts w:ascii="Times New Roman" w:eastAsia="仿宋_GB2312" w:hAnsi="Times New Roman" w:cs="Times New Roman"/>
          <w:sz w:val="32"/>
          <w:szCs w:val="32"/>
        </w:rPr>
        <w:t>特定名称提取物</w:t>
      </w:r>
    </w:p>
    <w:p w:rsidR="00902A36" w:rsidRDefault="00185488">
      <w:pPr>
        <w:adjustRightInd w:val="0"/>
        <w:snapToGrid w:val="0"/>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根据化妆品行业习惯，某些特定工艺下获得的提取物类原料常采用约定俗成的名称，例如，经机械压榨或人工收集获得的汁液，一般称</w:t>
      </w:r>
      <w:r>
        <w:rPr>
          <w:rFonts w:ascii="Times New Roman" w:eastAsia="仿宋_GB2312" w:hAnsi="Times New Roman" w:cs="Times New Roman"/>
          <w:sz w:val="32"/>
          <w:szCs w:val="32"/>
        </w:rPr>
        <w:t>之为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汁</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；经机械压榨、水蒸气蒸馏或其他方式获得的液态油，一般称之为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油</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w:t>
      </w:r>
      <w:r>
        <w:rPr>
          <w:rFonts w:ascii="Times New Roman" w:eastAsia="仿宋_GB2312" w:hAnsi="Times New Roman" w:cs="Times New Roman"/>
          <w:sz w:val="32"/>
          <w:szCs w:val="32"/>
        </w:rPr>
        <w:t>水蒸气蒸馏分取挥发油后，获得剩余含微量挥发油的水，一般称之为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水</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902A36" w:rsidRDefault="00185488">
      <w:pPr>
        <w:adjustRightInd w:val="0"/>
        <w:snapToGrid w:val="0"/>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对于符合上述特定工艺和特点的植物新原料，可在来源</w:t>
      </w:r>
      <w:r>
        <w:rPr>
          <w:rFonts w:ascii="Times New Roman" w:eastAsia="仿宋_GB2312" w:hAnsi="Times New Roman" w:cs="Times New Roman"/>
          <w:sz w:val="32"/>
          <w:szCs w:val="32"/>
        </w:rPr>
        <w:lastRenderedPageBreak/>
        <w:t>植物、使用部位信息基础上，以</w:t>
      </w:r>
      <w:r>
        <w:rPr>
          <w:rFonts w:ascii="Times New Roman" w:eastAsia="仿宋_GB2312" w:hAnsi="Times New Roman" w:cs="Times New Roman"/>
          <w:sz w:val="32"/>
          <w:szCs w:val="32"/>
        </w:rPr>
        <w:t>“</w:t>
      </w:r>
      <w:r>
        <w:rPr>
          <w:rFonts w:ascii="Times New Roman" w:eastAsia="仿宋_GB2312" w:hAnsi="Times New Roman" w:cs="Times New Roman"/>
          <w:sz w:val="32"/>
          <w:szCs w:val="32"/>
        </w:rPr>
        <w:t>汁</w:t>
      </w:r>
      <w:r>
        <w:rPr>
          <w:rFonts w:ascii="Times New Roman" w:eastAsia="仿宋_GB2312" w:hAnsi="Times New Roman" w:cs="Times New Roman"/>
          <w:sz w:val="32"/>
          <w:szCs w:val="32"/>
        </w:rPr>
        <w:t>”“</w:t>
      </w:r>
      <w:r>
        <w:rPr>
          <w:rFonts w:ascii="Times New Roman" w:eastAsia="仿宋_GB2312" w:hAnsi="Times New Roman" w:cs="Times New Roman"/>
          <w:sz w:val="32"/>
          <w:szCs w:val="32"/>
        </w:rPr>
        <w:t>油</w:t>
      </w:r>
      <w:r>
        <w:rPr>
          <w:rFonts w:ascii="Times New Roman" w:eastAsia="仿宋_GB2312" w:hAnsi="Times New Roman" w:cs="Times New Roman"/>
          <w:sz w:val="32"/>
          <w:szCs w:val="32"/>
        </w:rPr>
        <w:t>”“</w:t>
      </w:r>
      <w:r>
        <w:rPr>
          <w:rFonts w:ascii="Times New Roman" w:eastAsia="仿宋_GB2312" w:hAnsi="Times New Roman" w:cs="Times New Roman"/>
          <w:sz w:val="32"/>
          <w:szCs w:val="32"/>
        </w:rPr>
        <w:t>水</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等特定名称进行命名，如</w:t>
      </w:r>
      <w:r>
        <w:rPr>
          <w:rFonts w:ascii="Times New Roman" w:eastAsia="仿宋_GB2312" w:hAnsi="Times New Roman" w:cs="Times New Roman"/>
          <w:sz w:val="32"/>
          <w:szCs w:val="32"/>
        </w:rPr>
        <w:t>“</w:t>
      </w:r>
      <w:r>
        <w:rPr>
          <w:rFonts w:ascii="Times New Roman" w:eastAsia="仿宋_GB2312" w:hAnsi="Times New Roman" w:cs="Times New Roman"/>
          <w:sz w:val="32"/>
          <w:szCs w:val="32"/>
        </w:rPr>
        <w:t>番木瓜（</w:t>
      </w:r>
      <w:r>
        <w:rPr>
          <w:rFonts w:ascii="Times New Roman" w:eastAsia="仿宋_GB2312" w:hAnsi="Times New Roman" w:cs="Times New Roman"/>
          <w:sz w:val="32"/>
          <w:szCs w:val="32"/>
        </w:rPr>
        <w:t>CARICA PAPAYA</w:t>
      </w:r>
      <w:r>
        <w:rPr>
          <w:rFonts w:ascii="Times New Roman" w:eastAsia="仿宋_GB2312" w:hAnsi="Times New Roman" w:cs="Times New Roman"/>
          <w:sz w:val="32"/>
          <w:szCs w:val="32"/>
        </w:rPr>
        <w:t>）果汁</w:t>
      </w:r>
      <w:r>
        <w:rPr>
          <w:rFonts w:ascii="Times New Roman" w:eastAsia="仿宋_GB2312" w:hAnsi="Times New Roman" w:cs="Times New Roman"/>
          <w:sz w:val="32"/>
          <w:szCs w:val="32"/>
        </w:rPr>
        <w:t>”“</w:t>
      </w:r>
      <w:r>
        <w:rPr>
          <w:rFonts w:ascii="Times New Roman" w:eastAsia="仿宋_GB2312" w:hAnsi="Times New Roman" w:cs="Times New Roman"/>
          <w:sz w:val="32"/>
          <w:szCs w:val="32"/>
        </w:rPr>
        <w:t>依兰（</w:t>
      </w:r>
      <w:r>
        <w:rPr>
          <w:rFonts w:ascii="Times New Roman" w:eastAsia="仿宋_GB2312" w:hAnsi="Times New Roman" w:cs="Times New Roman"/>
          <w:sz w:val="32"/>
          <w:szCs w:val="32"/>
        </w:rPr>
        <w:t>CANANGA ODORATA</w:t>
      </w:r>
      <w:r>
        <w:rPr>
          <w:rFonts w:ascii="Times New Roman" w:eastAsia="仿宋_GB2312" w:hAnsi="Times New Roman" w:cs="Times New Roman"/>
          <w:sz w:val="32"/>
          <w:szCs w:val="32"/>
        </w:rPr>
        <w:t>）叶油</w:t>
      </w:r>
      <w:r>
        <w:rPr>
          <w:rFonts w:ascii="Times New Roman" w:eastAsia="仿宋_GB2312" w:hAnsi="Times New Roman" w:cs="Times New Roman"/>
          <w:sz w:val="32"/>
          <w:szCs w:val="32"/>
        </w:rPr>
        <w:t>”“</w:t>
      </w:r>
      <w:r>
        <w:rPr>
          <w:rFonts w:ascii="Times New Roman" w:eastAsia="仿宋_GB2312" w:hAnsi="Times New Roman" w:cs="Times New Roman"/>
          <w:sz w:val="32"/>
          <w:szCs w:val="32"/>
        </w:rPr>
        <w:t>白及（</w:t>
      </w:r>
      <w:r>
        <w:rPr>
          <w:rFonts w:ascii="Times New Roman" w:eastAsia="仿宋_GB2312" w:hAnsi="Times New Roman" w:cs="Times New Roman"/>
          <w:sz w:val="32"/>
          <w:szCs w:val="32"/>
        </w:rPr>
        <w:t>BLETILLA STRIATA</w:t>
      </w:r>
      <w:r>
        <w:rPr>
          <w:rFonts w:ascii="Times New Roman" w:eastAsia="仿宋_GB2312" w:hAnsi="Times New Roman" w:cs="Times New Roman"/>
          <w:sz w:val="32"/>
          <w:szCs w:val="32"/>
        </w:rPr>
        <w:t>）根水</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等。</w:t>
      </w:r>
    </w:p>
    <w:p w:rsidR="00902A36" w:rsidRDefault="00185488">
      <w:pPr>
        <w:adjustRightInd w:val="0"/>
        <w:snapToGrid w:val="0"/>
        <w:spacing w:line="640" w:lineRule="exact"/>
        <w:ind w:firstLineChars="200" w:firstLine="640"/>
        <w:rPr>
          <w:rFonts w:ascii="Times New Roman" w:eastAsia="仿宋_GB2312" w:hAnsi="Times New Roman" w:cs="Times New Roman"/>
          <w:bCs/>
          <w:sz w:val="32"/>
          <w:szCs w:val="32"/>
        </w:rPr>
      </w:pPr>
      <w:bookmarkStart w:id="31" w:name="_Toc190177703"/>
      <w:bookmarkEnd w:id="30"/>
      <w:r>
        <w:rPr>
          <w:rFonts w:ascii="Times New Roman" w:eastAsia="仿宋_GB2312" w:hAnsi="Times New Roman" w:cs="Times New Roman"/>
          <w:bCs/>
          <w:sz w:val="32"/>
          <w:szCs w:val="32"/>
        </w:rPr>
        <w:t xml:space="preserve">2. </w:t>
      </w:r>
      <w:r>
        <w:rPr>
          <w:rFonts w:ascii="Times New Roman" w:eastAsia="仿宋_GB2312" w:hAnsi="Times New Roman" w:cs="Times New Roman"/>
          <w:bCs/>
          <w:sz w:val="32"/>
          <w:szCs w:val="32"/>
        </w:rPr>
        <w:t>一般提取物</w:t>
      </w:r>
    </w:p>
    <w:p w:rsidR="00902A36" w:rsidRDefault="00185488">
      <w:pPr>
        <w:adjustRightInd w:val="0"/>
        <w:snapToGrid w:val="0"/>
        <w:spacing w:line="64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由植物经提取后获得的一般提取物，可在来源植物、使用部位信息基础上以</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提取物</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命名，如</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牛膝（</w:t>
      </w:r>
      <w:r>
        <w:rPr>
          <w:rFonts w:ascii="Times New Roman" w:eastAsia="仿宋_GB2312" w:hAnsi="Times New Roman" w:cs="Times New Roman"/>
          <w:bCs/>
          <w:sz w:val="32"/>
          <w:szCs w:val="32"/>
        </w:rPr>
        <w:t>ACHYRANTHES BIDENTATA</w:t>
      </w:r>
      <w:r>
        <w:rPr>
          <w:rFonts w:ascii="Times New Roman" w:eastAsia="仿宋_GB2312" w:hAnsi="Times New Roman" w:cs="Times New Roman"/>
          <w:bCs/>
          <w:sz w:val="32"/>
          <w:szCs w:val="32"/>
        </w:rPr>
        <w:t>）根提取物</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等。</w:t>
      </w:r>
    </w:p>
    <w:p w:rsidR="00902A36" w:rsidRDefault="00185488">
      <w:pPr>
        <w:adjustRightInd w:val="0"/>
        <w:snapToGrid w:val="0"/>
        <w:spacing w:line="64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 xml:space="preserve">3. </w:t>
      </w:r>
      <w:r>
        <w:rPr>
          <w:rFonts w:ascii="Times New Roman" w:eastAsia="仿宋_GB2312" w:hAnsi="Times New Roman" w:cs="Times New Roman"/>
          <w:bCs/>
          <w:sz w:val="32"/>
          <w:szCs w:val="32"/>
        </w:rPr>
        <w:t>组分提</w:t>
      </w:r>
      <w:r>
        <w:rPr>
          <w:rFonts w:ascii="Times New Roman" w:eastAsia="仿宋_GB2312" w:hAnsi="Times New Roman" w:cs="Times New Roman"/>
          <w:bCs/>
          <w:sz w:val="32"/>
          <w:szCs w:val="32"/>
        </w:rPr>
        <w:t>取物</w:t>
      </w:r>
      <w:bookmarkEnd w:id="31"/>
    </w:p>
    <w:p w:rsidR="00902A36" w:rsidRDefault="00185488">
      <w:pPr>
        <w:adjustRightInd w:val="0"/>
        <w:snapToGrid w:val="0"/>
        <w:spacing w:line="640" w:lineRule="exact"/>
        <w:ind w:firstLineChars="200" w:firstLine="640"/>
        <w:rPr>
          <w:rFonts w:ascii="Times New Roman" w:eastAsia="仿宋_GB2312" w:hAnsi="Times New Roman" w:cs="Times New Roman"/>
          <w:bCs/>
          <w:sz w:val="32"/>
          <w:szCs w:val="32"/>
        </w:rPr>
      </w:pPr>
      <w:bookmarkStart w:id="32" w:name="_Toc190177704"/>
      <w:r>
        <w:rPr>
          <w:rFonts w:ascii="Times New Roman" w:eastAsia="仿宋_GB2312" w:hAnsi="Times New Roman" w:cs="Times New Roman"/>
          <w:bCs/>
          <w:sz w:val="32"/>
          <w:szCs w:val="32"/>
        </w:rPr>
        <w:t>植物经提取、分离等过程获得某一类结构相似的化合物，且该类化合物中可明确定量的单体含量累计达到</w:t>
      </w:r>
      <w:r>
        <w:rPr>
          <w:rFonts w:ascii="Times New Roman" w:eastAsia="仿宋_GB2312" w:hAnsi="Times New Roman" w:cs="Times New Roman"/>
          <w:bCs/>
          <w:sz w:val="32"/>
          <w:szCs w:val="32"/>
        </w:rPr>
        <w:t>80%</w:t>
      </w:r>
      <w:r>
        <w:rPr>
          <w:rFonts w:ascii="Times New Roman" w:eastAsia="仿宋_GB2312" w:hAnsi="Times New Roman" w:cs="Times New Roman"/>
          <w:bCs/>
          <w:sz w:val="32"/>
          <w:szCs w:val="32"/>
        </w:rPr>
        <w:t>以上的，可作为组分提取物命名，具体由来源植物、使用部位和化合物类别名称组成，如</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茶（</w:t>
      </w:r>
      <w:r>
        <w:rPr>
          <w:rFonts w:ascii="Times New Roman" w:eastAsia="仿宋_GB2312" w:hAnsi="Times New Roman" w:cs="Times New Roman"/>
          <w:bCs/>
          <w:sz w:val="32"/>
          <w:szCs w:val="32"/>
        </w:rPr>
        <w:t>CAMELLIA SINENSIS</w:t>
      </w:r>
      <w:r>
        <w:rPr>
          <w:rFonts w:ascii="Times New Roman" w:eastAsia="仿宋_GB2312" w:hAnsi="Times New Roman" w:cs="Times New Roman"/>
          <w:bCs/>
          <w:sz w:val="32"/>
          <w:szCs w:val="32"/>
        </w:rPr>
        <w:t>）多酚</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等。</w:t>
      </w:r>
      <w:bookmarkEnd w:id="32"/>
    </w:p>
    <w:p w:rsidR="00902A36" w:rsidRDefault="00185488">
      <w:pPr>
        <w:adjustRightInd w:val="0"/>
        <w:snapToGrid w:val="0"/>
        <w:spacing w:line="640" w:lineRule="exact"/>
        <w:ind w:firstLineChars="200" w:firstLine="640"/>
        <w:rPr>
          <w:rFonts w:ascii="Times New Roman" w:eastAsia="仿宋_GB2312" w:hAnsi="Times New Roman" w:cs="Times New Roman"/>
          <w:bCs/>
          <w:sz w:val="32"/>
          <w:szCs w:val="32"/>
        </w:rPr>
      </w:pPr>
      <w:bookmarkStart w:id="33" w:name="_Toc190177705"/>
      <w:r>
        <w:rPr>
          <w:rFonts w:ascii="Times New Roman" w:eastAsia="仿宋_GB2312" w:hAnsi="Times New Roman" w:cs="Times New Roman"/>
          <w:bCs/>
          <w:sz w:val="32"/>
          <w:szCs w:val="32"/>
        </w:rPr>
        <w:t xml:space="preserve">4. </w:t>
      </w:r>
      <w:r>
        <w:rPr>
          <w:rFonts w:ascii="Times New Roman" w:eastAsia="仿宋_GB2312" w:hAnsi="Times New Roman" w:cs="Times New Roman"/>
          <w:bCs/>
          <w:sz w:val="32"/>
          <w:szCs w:val="32"/>
        </w:rPr>
        <w:t>纯化提取物</w:t>
      </w:r>
      <w:bookmarkEnd w:id="33"/>
    </w:p>
    <w:p w:rsidR="00902A36" w:rsidRDefault="00185488">
      <w:pPr>
        <w:adjustRightInd w:val="0"/>
        <w:snapToGrid w:val="0"/>
        <w:spacing w:line="640" w:lineRule="exact"/>
        <w:ind w:firstLineChars="200" w:firstLine="640"/>
        <w:rPr>
          <w:rFonts w:ascii="Times New Roman" w:eastAsia="仿宋_GB2312" w:hAnsi="Times New Roman" w:cs="Times New Roman"/>
          <w:sz w:val="32"/>
          <w:szCs w:val="32"/>
        </w:rPr>
      </w:pPr>
      <w:bookmarkStart w:id="34" w:name="_Toc190177706"/>
      <w:r>
        <w:rPr>
          <w:rFonts w:ascii="Times New Roman" w:eastAsia="仿宋_GB2312" w:hAnsi="Times New Roman" w:cs="Times New Roman"/>
          <w:sz w:val="32"/>
          <w:szCs w:val="32"/>
        </w:rPr>
        <w:t>植物经提取、分离等过程得到的单一化合物，且最终</w:t>
      </w:r>
      <w:r>
        <w:rPr>
          <w:rFonts w:ascii="Times New Roman" w:eastAsia="仿宋_GB2312" w:hAnsi="Times New Roman" w:cs="Times New Roman"/>
          <w:kern w:val="0"/>
          <w:sz w:val="32"/>
          <w:szCs w:val="32"/>
        </w:rPr>
        <w:t>含量达到一定比例的（一般应当为</w:t>
      </w:r>
      <w:r>
        <w:rPr>
          <w:rFonts w:ascii="Times New Roman" w:eastAsia="仿宋_GB2312" w:hAnsi="Times New Roman" w:cs="Times New Roman"/>
          <w:sz w:val="32"/>
          <w:szCs w:val="32"/>
        </w:rPr>
        <w:t>90%</w:t>
      </w:r>
      <w:r>
        <w:rPr>
          <w:rFonts w:ascii="Times New Roman" w:eastAsia="仿宋_GB2312" w:hAnsi="Times New Roman" w:cs="Times New Roman"/>
          <w:sz w:val="32"/>
          <w:szCs w:val="32"/>
        </w:rPr>
        <w:t>（以干基计）以上），可作为纯化提取物命名。纯化提取物可参照化学原料命名，或选择广泛认可、符合行业习惯的名称，无需在原料名称中体现来源植物等相关信息。</w:t>
      </w:r>
      <w:bookmarkEnd w:id="34"/>
    </w:p>
    <w:p w:rsidR="00902A36" w:rsidRDefault="00185488">
      <w:pPr>
        <w:pStyle w:val="ad"/>
        <w:spacing w:line="640" w:lineRule="exact"/>
        <w:ind w:firstLine="640"/>
        <w:outlineLvl w:val="1"/>
        <w:rPr>
          <w:rFonts w:ascii="Times New Roman" w:eastAsia="楷体_GB2312" w:hAnsi="Times New Roman" w:cs="Times New Roman"/>
          <w:kern w:val="0"/>
          <w:sz w:val="32"/>
          <w:szCs w:val="32"/>
        </w:rPr>
      </w:pPr>
      <w:bookmarkStart w:id="35" w:name="_Toc215669177"/>
      <w:r>
        <w:rPr>
          <w:rFonts w:ascii="Times New Roman" w:eastAsia="楷体_GB2312" w:hAnsi="Times New Roman" w:cs="Times New Roman"/>
          <w:kern w:val="0"/>
          <w:sz w:val="32"/>
          <w:szCs w:val="32"/>
        </w:rPr>
        <w:t>（三）采用组织培养技术的情形</w:t>
      </w:r>
      <w:bookmarkEnd w:id="35"/>
    </w:p>
    <w:p w:rsidR="00902A36" w:rsidRDefault="00185488">
      <w:pPr>
        <w:adjustRightInd w:val="0"/>
        <w:snapToGrid w:val="0"/>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在新原料生产制备过程中采用组织培养技术的，根据植物用于新原料制备时的应用状态进行新原料命名。如经组织培养获得完整植株后，再用于新原料制备的，则按照上述一般植物新原料的命名规则进行命名；如将获得的</w:t>
      </w:r>
      <w:r>
        <w:rPr>
          <w:rFonts w:ascii="Times New Roman" w:eastAsia="仿宋_GB2312" w:hAnsi="Times New Roman" w:cs="Times New Roman"/>
          <w:sz w:val="32"/>
          <w:szCs w:val="32"/>
          <w:lang w:bidi="ar"/>
        </w:rPr>
        <w:t>愈伤组织等培养物直接用于新原料制备的</w:t>
      </w:r>
      <w:r>
        <w:rPr>
          <w:rFonts w:ascii="Times New Roman" w:eastAsia="仿宋_GB2312" w:hAnsi="Times New Roman" w:cs="Times New Roman"/>
          <w:sz w:val="32"/>
          <w:szCs w:val="32"/>
        </w:rPr>
        <w:t>，则应当在原料命名中客观体现植物实际应用形态，如</w:t>
      </w:r>
      <w:r>
        <w:rPr>
          <w:rFonts w:ascii="Times New Roman" w:eastAsia="仿宋_GB2312" w:hAnsi="Times New Roman" w:cs="Times New Roman"/>
          <w:sz w:val="32"/>
          <w:szCs w:val="32"/>
        </w:rPr>
        <w:t>“</w:t>
      </w:r>
      <w:r>
        <w:rPr>
          <w:rFonts w:ascii="Times New Roman" w:eastAsia="仿宋_GB2312" w:hAnsi="Times New Roman" w:cs="Times New Roman"/>
          <w:sz w:val="32"/>
          <w:szCs w:val="32"/>
          <w:lang w:bidi="ar"/>
        </w:rPr>
        <w:t>雪莲花（</w:t>
      </w:r>
      <w:r>
        <w:rPr>
          <w:rFonts w:ascii="Times New Roman" w:eastAsia="仿宋_GB2312" w:hAnsi="Times New Roman" w:cs="Times New Roman"/>
          <w:sz w:val="32"/>
          <w:szCs w:val="32"/>
          <w:lang w:bidi="ar"/>
        </w:rPr>
        <w:t>SAUSSUREA INVOLUCRATA</w:t>
      </w:r>
      <w:r>
        <w:rPr>
          <w:rFonts w:ascii="Times New Roman" w:eastAsia="仿宋_GB2312" w:hAnsi="Times New Roman" w:cs="Times New Roman"/>
          <w:sz w:val="32"/>
          <w:szCs w:val="32"/>
          <w:lang w:bidi="ar"/>
        </w:rPr>
        <w:t>）愈伤组织粉</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902A36" w:rsidRDefault="00902A36">
      <w:pPr>
        <w:adjustRightInd w:val="0"/>
        <w:snapToGrid w:val="0"/>
        <w:spacing w:line="640" w:lineRule="exact"/>
        <w:ind w:firstLineChars="200" w:firstLine="640"/>
        <w:rPr>
          <w:rFonts w:ascii="Times New Roman" w:eastAsia="仿宋_GB2312" w:hAnsi="Times New Roman" w:cs="Times New Roman"/>
          <w:sz w:val="32"/>
          <w:szCs w:val="32"/>
        </w:rPr>
      </w:pPr>
    </w:p>
    <w:sectPr w:rsidR="00902A36">
      <w:footerReference w:type="default" r:id="rId14"/>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488" w:rsidRDefault="00185488">
      <w:r>
        <w:separator/>
      </w:r>
    </w:p>
  </w:endnote>
  <w:endnote w:type="continuationSeparator" w:id="0">
    <w:p w:rsidR="00185488" w:rsidRDefault="00185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15F78AE3-A28A-417F-AD00-4F824E52377E}"/>
  </w:font>
  <w:font w:name="方正小标宋简体">
    <w:panose1 w:val="02000000000000000000"/>
    <w:charset w:val="86"/>
    <w:family w:val="auto"/>
    <w:pitch w:val="variable"/>
    <w:sig w:usb0="A00002BF" w:usb1="184F6CFA" w:usb2="00000012" w:usb3="00000000" w:csb0="00040001" w:csb1="00000000"/>
    <w:embedRegular r:id="rId2" w:subsetted="1" w:fontKey="{962837FD-25C0-4DEF-875C-5BE0C87A716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embedRegular r:id="rId3" w:subsetted="1" w:fontKey="{B248C918-C3A8-4F73-B90C-892F6833E591}"/>
  </w:font>
  <w:font w:name="仿宋_GB2312">
    <w:panose1 w:val="02010609030101010101"/>
    <w:charset w:val="86"/>
    <w:family w:val="modern"/>
    <w:pitch w:val="fixed"/>
    <w:sig w:usb0="00000001" w:usb1="080E0000" w:usb2="00000010" w:usb3="00000000" w:csb0="00040000" w:csb1="00000000"/>
    <w:embedRegular r:id="rId4" w:subsetted="1" w:fontKey="{16FC3B17-7CE7-4DC3-9A87-843B301FEABC}"/>
  </w:font>
  <w:font w:name="楷体_GB2312">
    <w:altName w:val="楷体"/>
    <w:panose1 w:val="02010609030101010101"/>
    <w:charset w:val="86"/>
    <w:family w:val="modern"/>
    <w:pitch w:val="fixed"/>
    <w:sig w:usb0="00000001" w:usb1="080E0000" w:usb2="00000010" w:usb3="00000000" w:csb0="00040000" w:csb1="00000000"/>
    <w:embedRegular r:id="rId5" w:subsetted="1" w:fontKey="{B47D553A-F211-48D0-A2CC-B7426976903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A36" w:rsidRDefault="00902A36">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A36" w:rsidRDefault="00902A36">
    <w:pPr>
      <w:pStyle w:val="a6"/>
      <w:jc w:val="center"/>
      <w:rPr>
        <w:rFonts w:ascii="Times New Roman" w:hAnsi="Times New Roman" w:cs="Times New Roman"/>
      </w:rPr>
    </w:pPr>
  </w:p>
  <w:p w:rsidR="00902A36" w:rsidRDefault="00902A36">
    <w:pPr>
      <w:pStyle w:val="a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A36" w:rsidRDefault="00902A36">
    <w:pPr>
      <w:pStyle w:val="a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A36" w:rsidRDefault="00185488">
    <w:pPr>
      <w:pStyle w:val="a6"/>
      <w:jc w:val="center"/>
      <w:rPr>
        <w:rFonts w:ascii="Times New Roman" w:hAnsi="Times New Roman" w:cs="Times New Roman"/>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28"/>
                              <w:szCs w:val="28"/>
                            </w:rPr>
                            <w:id w:val="147472459"/>
                          </w:sdtPr>
                          <w:sdtEndPr>
                            <w:rPr>
                              <w:rFonts w:ascii="Times New Roman" w:hAnsi="Times New Roman" w:cs="Times New Roman"/>
                            </w:rPr>
                          </w:sdtEndPr>
                          <w:sdtContent>
                            <w:p w:rsidR="00902A36" w:rsidRDefault="00185488">
                              <w:pPr>
                                <w:pStyle w:val="a6"/>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F40C06" w:rsidRPr="00F40C06">
                                <w:rPr>
                                  <w:rFonts w:ascii="Times New Roman" w:hAnsi="Times New Roman" w:cs="Times New Roman"/>
                                  <w:noProof/>
                                  <w:sz w:val="28"/>
                                  <w:szCs w:val="28"/>
                                  <w:lang w:val="zh-CN"/>
                                </w:rPr>
                                <w:t>1</w:t>
                              </w:r>
                              <w:r>
                                <w:rPr>
                                  <w:rFonts w:ascii="Times New Roman" w:hAnsi="Times New Roman" w:cs="Times New Roman"/>
                                  <w:sz w:val="28"/>
                                  <w:szCs w:val="28"/>
                                </w:rPr>
                                <w:fldChar w:fldCharType="end"/>
                              </w:r>
                            </w:p>
                          </w:sdtContent>
                        </w:sdt>
                        <w:p w:rsidR="00902A36" w:rsidRDefault="00902A36">
                          <w:pPr>
                            <w:rPr>
                              <w:rFonts w:ascii="Times New Roman" w:hAnsi="Times New Roman" w:cs="Times New Roman"/>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sdt>
                    <w:sdtPr>
                      <w:rPr>
                        <w:sz w:val="28"/>
                        <w:szCs w:val="28"/>
                      </w:rPr>
                      <w:id w:val="147472459"/>
                    </w:sdtPr>
                    <w:sdtEndPr>
                      <w:rPr>
                        <w:rFonts w:ascii="Times New Roman" w:hAnsi="Times New Roman" w:cs="Times New Roman"/>
                      </w:rPr>
                    </w:sdtEndPr>
                    <w:sdtContent>
                      <w:p w:rsidR="00902A36" w:rsidRDefault="00185488">
                        <w:pPr>
                          <w:pStyle w:val="a6"/>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F40C06" w:rsidRPr="00F40C06">
                          <w:rPr>
                            <w:rFonts w:ascii="Times New Roman" w:hAnsi="Times New Roman" w:cs="Times New Roman"/>
                            <w:noProof/>
                            <w:sz w:val="28"/>
                            <w:szCs w:val="28"/>
                            <w:lang w:val="zh-CN"/>
                          </w:rPr>
                          <w:t>1</w:t>
                        </w:r>
                        <w:r>
                          <w:rPr>
                            <w:rFonts w:ascii="Times New Roman" w:hAnsi="Times New Roman" w:cs="Times New Roman"/>
                            <w:sz w:val="28"/>
                            <w:szCs w:val="28"/>
                          </w:rPr>
                          <w:fldChar w:fldCharType="end"/>
                        </w:r>
                      </w:p>
                    </w:sdtContent>
                  </w:sdt>
                  <w:p w:rsidR="00902A36" w:rsidRDefault="00902A36">
                    <w:pPr>
                      <w:rPr>
                        <w:rFonts w:ascii="Times New Roman" w:hAnsi="Times New Roman" w:cs="Times New Roman"/>
                        <w:sz w:val="28"/>
                        <w:szCs w:val="28"/>
                      </w:rPr>
                    </w:pPr>
                  </w:p>
                </w:txbxContent>
              </v:textbox>
              <w10:wrap anchorx="margin"/>
            </v:shape>
          </w:pict>
        </mc:Fallback>
      </mc:AlternateContent>
    </w:r>
  </w:p>
  <w:p w:rsidR="00902A36" w:rsidRDefault="00902A36">
    <w:pPr>
      <w:pStyle w:val="a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488" w:rsidRDefault="00185488">
      <w:r>
        <w:separator/>
      </w:r>
    </w:p>
  </w:footnote>
  <w:footnote w:type="continuationSeparator" w:id="0">
    <w:p w:rsidR="00185488" w:rsidRDefault="001854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A36" w:rsidRDefault="00902A36">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A36" w:rsidRDefault="00902A36">
    <w:pPr>
      <w:pStyle w:val="a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mODY0NzY0YzdlZGVmODA4Mjk1YWMwYzRhNzM2YzAifQ=="/>
  </w:docVars>
  <w:rsids>
    <w:rsidRoot w:val="004660D6"/>
    <w:rsid w:val="00003909"/>
    <w:rsid w:val="0000397A"/>
    <w:rsid w:val="00013AA6"/>
    <w:rsid w:val="00033D1B"/>
    <w:rsid w:val="00035F27"/>
    <w:rsid w:val="0004430D"/>
    <w:rsid w:val="0004439D"/>
    <w:rsid w:val="000615CB"/>
    <w:rsid w:val="000858CA"/>
    <w:rsid w:val="00095A0E"/>
    <w:rsid w:val="000A1E0D"/>
    <w:rsid w:val="000A34B3"/>
    <w:rsid w:val="000B6B02"/>
    <w:rsid w:val="000C4942"/>
    <w:rsid w:val="000D0228"/>
    <w:rsid w:val="000D3204"/>
    <w:rsid w:val="000E107E"/>
    <w:rsid w:val="00120B24"/>
    <w:rsid w:val="0012207D"/>
    <w:rsid w:val="00131051"/>
    <w:rsid w:val="00134AED"/>
    <w:rsid w:val="00135454"/>
    <w:rsid w:val="00150AF1"/>
    <w:rsid w:val="001701BC"/>
    <w:rsid w:val="00171548"/>
    <w:rsid w:val="00175A7D"/>
    <w:rsid w:val="00175E22"/>
    <w:rsid w:val="0017622D"/>
    <w:rsid w:val="00185488"/>
    <w:rsid w:val="001921DC"/>
    <w:rsid w:val="00193BF1"/>
    <w:rsid w:val="001A25D3"/>
    <w:rsid w:val="001A6846"/>
    <w:rsid w:val="001C480B"/>
    <w:rsid w:val="001C4E4F"/>
    <w:rsid w:val="001D69F2"/>
    <w:rsid w:val="002015D2"/>
    <w:rsid w:val="00207C5A"/>
    <w:rsid w:val="0022279D"/>
    <w:rsid w:val="0023083C"/>
    <w:rsid w:val="0023579C"/>
    <w:rsid w:val="00235ECE"/>
    <w:rsid w:val="00236DB0"/>
    <w:rsid w:val="00237FC7"/>
    <w:rsid w:val="00240D0F"/>
    <w:rsid w:val="00262AFA"/>
    <w:rsid w:val="00266EBD"/>
    <w:rsid w:val="00270BE3"/>
    <w:rsid w:val="00270CB2"/>
    <w:rsid w:val="002714E6"/>
    <w:rsid w:val="00273117"/>
    <w:rsid w:val="00276646"/>
    <w:rsid w:val="00282F3D"/>
    <w:rsid w:val="0029255A"/>
    <w:rsid w:val="002A4FFA"/>
    <w:rsid w:val="002A77A6"/>
    <w:rsid w:val="002B6FAF"/>
    <w:rsid w:val="002C6BF7"/>
    <w:rsid w:val="002E2FF7"/>
    <w:rsid w:val="002E33D4"/>
    <w:rsid w:val="002E69BD"/>
    <w:rsid w:val="002E7FCF"/>
    <w:rsid w:val="00313EF2"/>
    <w:rsid w:val="00333D29"/>
    <w:rsid w:val="003359A7"/>
    <w:rsid w:val="00342410"/>
    <w:rsid w:val="00353E62"/>
    <w:rsid w:val="00356700"/>
    <w:rsid w:val="0035765C"/>
    <w:rsid w:val="003659F8"/>
    <w:rsid w:val="003A536A"/>
    <w:rsid w:val="003B2E5F"/>
    <w:rsid w:val="003B5C2A"/>
    <w:rsid w:val="003C3E0B"/>
    <w:rsid w:val="003E4F79"/>
    <w:rsid w:val="003E4F9F"/>
    <w:rsid w:val="003E6BBB"/>
    <w:rsid w:val="003E6D53"/>
    <w:rsid w:val="003E70B0"/>
    <w:rsid w:val="003E7888"/>
    <w:rsid w:val="003F3698"/>
    <w:rsid w:val="003F4C89"/>
    <w:rsid w:val="00410B2E"/>
    <w:rsid w:val="004165BB"/>
    <w:rsid w:val="004241D9"/>
    <w:rsid w:val="00426442"/>
    <w:rsid w:val="00435112"/>
    <w:rsid w:val="004431D8"/>
    <w:rsid w:val="004660D6"/>
    <w:rsid w:val="004706B5"/>
    <w:rsid w:val="00473526"/>
    <w:rsid w:val="004847CF"/>
    <w:rsid w:val="00490912"/>
    <w:rsid w:val="004A0820"/>
    <w:rsid w:val="004A5A93"/>
    <w:rsid w:val="004B6EA4"/>
    <w:rsid w:val="004B7B9B"/>
    <w:rsid w:val="004C1239"/>
    <w:rsid w:val="004C3B95"/>
    <w:rsid w:val="004C538C"/>
    <w:rsid w:val="004C773D"/>
    <w:rsid w:val="004D0B7E"/>
    <w:rsid w:val="004D1876"/>
    <w:rsid w:val="004E4D1D"/>
    <w:rsid w:val="004F176E"/>
    <w:rsid w:val="00502F29"/>
    <w:rsid w:val="00520E0C"/>
    <w:rsid w:val="00530383"/>
    <w:rsid w:val="00571C5A"/>
    <w:rsid w:val="0057417D"/>
    <w:rsid w:val="00574C10"/>
    <w:rsid w:val="00575B47"/>
    <w:rsid w:val="00575DC3"/>
    <w:rsid w:val="00583D91"/>
    <w:rsid w:val="0059101C"/>
    <w:rsid w:val="005A0C01"/>
    <w:rsid w:val="005A1140"/>
    <w:rsid w:val="005A14EE"/>
    <w:rsid w:val="005A677E"/>
    <w:rsid w:val="005B0139"/>
    <w:rsid w:val="005D069E"/>
    <w:rsid w:val="005D3991"/>
    <w:rsid w:val="005D76E2"/>
    <w:rsid w:val="005D7F17"/>
    <w:rsid w:val="005E4DAE"/>
    <w:rsid w:val="005E562C"/>
    <w:rsid w:val="005F1D1F"/>
    <w:rsid w:val="00602777"/>
    <w:rsid w:val="00605471"/>
    <w:rsid w:val="00630B01"/>
    <w:rsid w:val="00635E9C"/>
    <w:rsid w:val="00643FCB"/>
    <w:rsid w:val="00660187"/>
    <w:rsid w:val="00667DA3"/>
    <w:rsid w:val="006768FE"/>
    <w:rsid w:val="0068628E"/>
    <w:rsid w:val="00693BFA"/>
    <w:rsid w:val="006A62C7"/>
    <w:rsid w:val="006C1ED5"/>
    <w:rsid w:val="0070161A"/>
    <w:rsid w:val="007160F3"/>
    <w:rsid w:val="007221BF"/>
    <w:rsid w:val="007270ED"/>
    <w:rsid w:val="00731F7E"/>
    <w:rsid w:val="00734C54"/>
    <w:rsid w:val="00744A95"/>
    <w:rsid w:val="0076462F"/>
    <w:rsid w:val="007768DB"/>
    <w:rsid w:val="00787054"/>
    <w:rsid w:val="00791B8C"/>
    <w:rsid w:val="00794CE3"/>
    <w:rsid w:val="007A0002"/>
    <w:rsid w:val="007C43C0"/>
    <w:rsid w:val="007D09EE"/>
    <w:rsid w:val="007D1D29"/>
    <w:rsid w:val="007E42B1"/>
    <w:rsid w:val="007E7F8A"/>
    <w:rsid w:val="007F549D"/>
    <w:rsid w:val="007F6E34"/>
    <w:rsid w:val="00803748"/>
    <w:rsid w:val="00803B12"/>
    <w:rsid w:val="00810A34"/>
    <w:rsid w:val="00811600"/>
    <w:rsid w:val="00812A46"/>
    <w:rsid w:val="00813CAE"/>
    <w:rsid w:val="00820598"/>
    <w:rsid w:val="008374C5"/>
    <w:rsid w:val="0084129B"/>
    <w:rsid w:val="00867126"/>
    <w:rsid w:val="008678C1"/>
    <w:rsid w:val="0087388F"/>
    <w:rsid w:val="0087508F"/>
    <w:rsid w:val="00885234"/>
    <w:rsid w:val="00886F52"/>
    <w:rsid w:val="0089027E"/>
    <w:rsid w:val="00895FD7"/>
    <w:rsid w:val="008A0E14"/>
    <w:rsid w:val="008B175D"/>
    <w:rsid w:val="008B5378"/>
    <w:rsid w:val="008B63D9"/>
    <w:rsid w:val="008E4BC7"/>
    <w:rsid w:val="008F3BEC"/>
    <w:rsid w:val="00902A36"/>
    <w:rsid w:val="00903E37"/>
    <w:rsid w:val="0090404A"/>
    <w:rsid w:val="00907B42"/>
    <w:rsid w:val="0091588F"/>
    <w:rsid w:val="00927AC2"/>
    <w:rsid w:val="00933CC3"/>
    <w:rsid w:val="00936E95"/>
    <w:rsid w:val="00943207"/>
    <w:rsid w:val="0094652C"/>
    <w:rsid w:val="00947233"/>
    <w:rsid w:val="00961D59"/>
    <w:rsid w:val="009626E8"/>
    <w:rsid w:val="00963D01"/>
    <w:rsid w:val="00984693"/>
    <w:rsid w:val="00985FD0"/>
    <w:rsid w:val="00986213"/>
    <w:rsid w:val="0099031C"/>
    <w:rsid w:val="009912A4"/>
    <w:rsid w:val="009B1FD2"/>
    <w:rsid w:val="009C60F9"/>
    <w:rsid w:val="009D6E9B"/>
    <w:rsid w:val="009E6C1F"/>
    <w:rsid w:val="009F634E"/>
    <w:rsid w:val="009F748E"/>
    <w:rsid w:val="00A04ED7"/>
    <w:rsid w:val="00A1172B"/>
    <w:rsid w:val="00A21900"/>
    <w:rsid w:val="00A3368B"/>
    <w:rsid w:val="00A35EEE"/>
    <w:rsid w:val="00A401AB"/>
    <w:rsid w:val="00A47983"/>
    <w:rsid w:val="00A5366F"/>
    <w:rsid w:val="00A53691"/>
    <w:rsid w:val="00A60246"/>
    <w:rsid w:val="00A6130E"/>
    <w:rsid w:val="00A6295E"/>
    <w:rsid w:val="00A63A3D"/>
    <w:rsid w:val="00A67352"/>
    <w:rsid w:val="00A728A7"/>
    <w:rsid w:val="00A751E8"/>
    <w:rsid w:val="00A814CF"/>
    <w:rsid w:val="00A85CD4"/>
    <w:rsid w:val="00A90BB8"/>
    <w:rsid w:val="00AA2AF1"/>
    <w:rsid w:val="00AB2448"/>
    <w:rsid w:val="00AB2FE5"/>
    <w:rsid w:val="00AB5711"/>
    <w:rsid w:val="00AB694F"/>
    <w:rsid w:val="00AD32C4"/>
    <w:rsid w:val="00AE0098"/>
    <w:rsid w:val="00AE1D80"/>
    <w:rsid w:val="00AF0EFB"/>
    <w:rsid w:val="00AF4D19"/>
    <w:rsid w:val="00AF519C"/>
    <w:rsid w:val="00B04855"/>
    <w:rsid w:val="00B154E4"/>
    <w:rsid w:val="00B2094F"/>
    <w:rsid w:val="00B40176"/>
    <w:rsid w:val="00B40C1C"/>
    <w:rsid w:val="00B41494"/>
    <w:rsid w:val="00B455E6"/>
    <w:rsid w:val="00B46BDF"/>
    <w:rsid w:val="00B655B5"/>
    <w:rsid w:val="00B665A1"/>
    <w:rsid w:val="00B75072"/>
    <w:rsid w:val="00B81F18"/>
    <w:rsid w:val="00B82120"/>
    <w:rsid w:val="00B8602E"/>
    <w:rsid w:val="00B910A9"/>
    <w:rsid w:val="00BA1C68"/>
    <w:rsid w:val="00BC0571"/>
    <w:rsid w:val="00BC2246"/>
    <w:rsid w:val="00BD64F3"/>
    <w:rsid w:val="00BD776F"/>
    <w:rsid w:val="00BF6003"/>
    <w:rsid w:val="00C04CC6"/>
    <w:rsid w:val="00C05862"/>
    <w:rsid w:val="00C12E45"/>
    <w:rsid w:val="00C15307"/>
    <w:rsid w:val="00C17C74"/>
    <w:rsid w:val="00C17D40"/>
    <w:rsid w:val="00C24D3F"/>
    <w:rsid w:val="00C563D9"/>
    <w:rsid w:val="00C6117B"/>
    <w:rsid w:val="00C622EF"/>
    <w:rsid w:val="00C63466"/>
    <w:rsid w:val="00C65961"/>
    <w:rsid w:val="00C74558"/>
    <w:rsid w:val="00C759AE"/>
    <w:rsid w:val="00C80E15"/>
    <w:rsid w:val="00C83FDF"/>
    <w:rsid w:val="00CA0AFA"/>
    <w:rsid w:val="00CC3532"/>
    <w:rsid w:val="00CD51D5"/>
    <w:rsid w:val="00CE682B"/>
    <w:rsid w:val="00D10B8F"/>
    <w:rsid w:val="00D15798"/>
    <w:rsid w:val="00D27446"/>
    <w:rsid w:val="00D27FE0"/>
    <w:rsid w:val="00D32A86"/>
    <w:rsid w:val="00D52C07"/>
    <w:rsid w:val="00D56E70"/>
    <w:rsid w:val="00D62F96"/>
    <w:rsid w:val="00D64715"/>
    <w:rsid w:val="00D716E9"/>
    <w:rsid w:val="00D749D1"/>
    <w:rsid w:val="00D806AC"/>
    <w:rsid w:val="00D82B88"/>
    <w:rsid w:val="00D96D2C"/>
    <w:rsid w:val="00DA0634"/>
    <w:rsid w:val="00DA3891"/>
    <w:rsid w:val="00DA3F53"/>
    <w:rsid w:val="00DA50EF"/>
    <w:rsid w:val="00DB05F1"/>
    <w:rsid w:val="00DB671E"/>
    <w:rsid w:val="00DB6CEB"/>
    <w:rsid w:val="00DB7F9A"/>
    <w:rsid w:val="00DC0B86"/>
    <w:rsid w:val="00DC47CC"/>
    <w:rsid w:val="00DD017A"/>
    <w:rsid w:val="00DD477F"/>
    <w:rsid w:val="00DE274C"/>
    <w:rsid w:val="00DE474C"/>
    <w:rsid w:val="00DF034D"/>
    <w:rsid w:val="00DF0DD7"/>
    <w:rsid w:val="00DF7547"/>
    <w:rsid w:val="00E05F5D"/>
    <w:rsid w:val="00E217FA"/>
    <w:rsid w:val="00E30BC1"/>
    <w:rsid w:val="00E437CB"/>
    <w:rsid w:val="00E43B38"/>
    <w:rsid w:val="00E562C3"/>
    <w:rsid w:val="00E6088A"/>
    <w:rsid w:val="00E6244B"/>
    <w:rsid w:val="00E633E3"/>
    <w:rsid w:val="00EA05D5"/>
    <w:rsid w:val="00EC2B73"/>
    <w:rsid w:val="00EC38F8"/>
    <w:rsid w:val="00EE007F"/>
    <w:rsid w:val="00EF641A"/>
    <w:rsid w:val="00F016B2"/>
    <w:rsid w:val="00F01BA6"/>
    <w:rsid w:val="00F10C9D"/>
    <w:rsid w:val="00F1386C"/>
    <w:rsid w:val="00F140EF"/>
    <w:rsid w:val="00F37D35"/>
    <w:rsid w:val="00F40C06"/>
    <w:rsid w:val="00F420C1"/>
    <w:rsid w:val="00F42FE6"/>
    <w:rsid w:val="00F62BE9"/>
    <w:rsid w:val="00F73F56"/>
    <w:rsid w:val="00F76D46"/>
    <w:rsid w:val="00F86705"/>
    <w:rsid w:val="00F9256B"/>
    <w:rsid w:val="00FB7511"/>
    <w:rsid w:val="00FC03C1"/>
    <w:rsid w:val="00FC2BC2"/>
    <w:rsid w:val="00FD744A"/>
    <w:rsid w:val="00FE6BAD"/>
    <w:rsid w:val="00FF5CCE"/>
    <w:rsid w:val="00FF5FE2"/>
    <w:rsid w:val="00FF6763"/>
    <w:rsid w:val="01A324E9"/>
    <w:rsid w:val="01A506ED"/>
    <w:rsid w:val="01BD17FD"/>
    <w:rsid w:val="043F0BEF"/>
    <w:rsid w:val="04DA0E71"/>
    <w:rsid w:val="05812237"/>
    <w:rsid w:val="07575DF8"/>
    <w:rsid w:val="078A2181"/>
    <w:rsid w:val="07B436A2"/>
    <w:rsid w:val="08386081"/>
    <w:rsid w:val="08C47915"/>
    <w:rsid w:val="08D55DE2"/>
    <w:rsid w:val="0CCC4FEA"/>
    <w:rsid w:val="0E63372C"/>
    <w:rsid w:val="11AC7198"/>
    <w:rsid w:val="14860174"/>
    <w:rsid w:val="1574209B"/>
    <w:rsid w:val="164107F7"/>
    <w:rsid w:val="167748C5"/>
    <w:rsid w:val="172D0D7B"/>
    <w:rsid w:val="18E86D07"/>
    <w:rsid w:val="19C257AA"/>
    <w:rsid w:val="1A1B4EBB"/>
    <w:rsid w:val="1B9238A2"/>
    <w:rsid w:val="1D3A1AFC"/>
    <w:rsid w:val="1D61177E"/>
    <w:rsid w:val="1F05006D"/>
    <w:rsid w:val="20014B53"/>
    <w:rsid w:val="2297354C"/>
    <w:rsid w:val="2320540D"/>
    <w:rsid w:val="23BA76CC"/>
    <w:rsid w:val="24C820E3"/>
    <w:rsid w:val="24F46A34"/>
    <w:rsid w:val="251470D6"/>
    <w:rsid w:val="253F4153"/>
    <w:rsid w:val="259A75DB"/>
    <w:rsid w:val="26D66D39"/>
    <w:rsid w:val="26FA5810"/>
    <w:rsid w:val="275F16CD"/>
    <w:rsid w:val="285A69A0"/>
    <w:rsid w:val="2A1A2F1D"/>
    <w:rsid w:val="2B0A0673"/>
    <w:rsid w:val="2BA54F2C"/>
    <w:rsid w:val="2C9C632F"/>
    <w:rsid w:val="2FE778C1"/>
    <w:rsid w:val="30D36097"/>
    <w:rsid w:val="32A10A97"/>
    <w:rsid w:val="32E71C05"/>
    <w:rsid w:val="336456CD"/>
    <w:rsid w:val="3626079D"/>
    <w:rsid w:val="36A4198A"/>
    <w:rsid w:val="36CE17DB"/>
    <w:rsid w:val="37054AD1"/>
    <w:rsid w:val="37074CED"/>
    <w:rsid w:val="37661A13"/>
    <w:rsid w:val="3A537871"/>
    <w:rsid w:val="3CFE2E90"/>
    <w:rsid w:val="3EC040FF"/>
    <w:rsid w:val="3F275F2C"/>
    <w:rsid w:val="3F56236D"/>
    <w:rsid w:val="3F584337"/>
    <w:rsid w:val="407E7DCE"/>
    <w:rsid w:val="40C86F7A"/>
    <w:rsid w:val="41320BB8"/>
    <w:rsid w:val="43EA6644"/>
    <w:rsid w:val="44890AEF"/>
    <w:rsid w:val="44F24093"/>
    <w:rsid w:val="45A32084"/>
    <w:rsid w:val="45DF1728"/>
    <w:rsid w:val="46A165C4"/>
    <w:rsid w:val="4757281A"/>
    <w:rsid w:val="47C75606"/>
    <w:rsid w:val="4819662E"/>
    <w:rsid w:val="49F96717"/>
    <w:rsid w:val="4A7E09CA"/>
    <w:rsid w:val="4C7E4C80"/>
    <w:rsid w:val="4DB84CD3"/>
    <w:rsid w:val="51025EB1"/>
    <w:rsid w:val="52187956"/>
    <w:rsid w:val="52931660"/>
    <w:rsid w:val="54047867"/>
    <w:rsid w:val="55D818D6"/>
    <w:rsid w:val="55F83D27"/>
    <w:rsid w:val="58676F42"/>
    <w:rsid w:val="5AF84D49"/>
    <w:rsid w:val="5D0D6309"/>
    <w:rsid w:val="5D4810F0"/>
    <w:rsid w:val="5E6463FD"/>
    <w:rsid w:val="5EEF00C4"/>
    <w:rsid w:val="5F2D2C93"/>
    <w:rsid w:val="60D809DC"/>
    <w:rsid w:val="60E43825"/>
    <w:rsid w:val="61AB7E9F"/>
    <w:rsid w:val="62343A8E"/>
    <w:rsid w:val="636B1FDC"/>
    <w:rsid w:val="636E5628"/>
    <w:rsid w:val="64B11C70"/>
    <w:rsid w:val="64D70FAB"/>
    <w:rsid w:val="66950875"/>
    <w:rsid w:val="66C043ED"/>
    <w:rsid w:val="67696832"/>
    <w:rsid w:val="68120C78"/>
    <w:rsid w:val="68444BA9"/>
    <w:rsid w:val="68617509"/>
    <w:rsid w:val="692F13B6"/>
    <w:rsid w:val="694A1418"/>
    <w:rsid w:val="694F5E6A"/>
    <w:rsid w:val="699B0408"/>
    <w:rsid w:val="6A39656C"/>
    <w:rsid w:val="6BD5497A"/>
    <w:rsid w:val="6CED1CB3"/>
    <w:rsid w:val="6D45328D"/>
    <w:rsid w:val="6E4E22DE"/>
    <w:rsid w:val="6F6D294A"/>
    <w:rsid w:val="6FF003F1"/>
    <w:rsid w:val="710B2708"/>
    <w:rsid w:val="71353C29"/>
    <w:rsid w:val="72DA4A88"/>
    <w:rsid w:val="73944C37"/>
    <w:rsid w:val="739764D5"/>
    <w:rsid w:val="747607E0"/>
    <w:rsid w:val="7530273D"/>
    <w:rsid w:val="756B0566"/>
    <w:rsid w:val="75F61BD9"/>
    <w:rsid w:val="762A0487"/>
    <w:rsid w:val="76A553AD"/>
    <w:rsid w:val="770B3462"/>
    <w:rsid w:val="774206A5"/>
    <w:rsid w:val="77636D28"/>
    <w:rsid w:val="779104F2"/>
    <w:rsid w:val="77D221D2"/>
    <w:rsid w:val="79075EAB"/>
    <w:rsid w:val="790C34C1"/>
    <w:rsid w:val="79667075"/>
    <w:rsid w:val="7BA67BFD"/>
    <w:rsid w:val="7D8F646F"/>
    <w:rsid w:val="7E6D055E"/>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snapToGrid w:val="0"/>
      <w:spacing w:before="100" w:beforeAutospacing="1" w:after="100" w:afterAutospacing="1" w:line="560" w:lineRule="exact"/>
      <w:ind w:firstLineChars="200" w:firstLine="200"/>
      <w:jc w:val="left"/>
      <w:outlineLvl w:val="1"/>
    </w:pPr>
    <w:rPr>
      <w:rFonts w:ascii="宋体" w:eastAsia="Times New Roman" w:hAnsi="宋体" w:cs="Times New Roman" w:hint="eastAsia"/>
      <w:bCs/>
      <w:kern w:val="0"/>
      <w:sz w:val="32"/>
      <w:szCs w:val="36"/>
    </w:rPr>
  </w:style>
  <w:style w:type="paragraph" w:styleId="3">
    <w:name w:val="heading 3"/>
    <w:basedOn w:val="a"/>
    <w:next w:val="a"/>
    <w:link w:val="3Char"/>
    <w:uiPriority w:val="9"/>
    <w:unhideWhenUsed/>
    <w:qFormat/>
    <w:pPr>
      <w:spacing w:before="260" w:after="260" w:line="415" w:lineRule="auto"/>
      <w:outlineLvl w:val="2"/>
    </w:pPr>
    <w:rPr>
      <w:b/>
      <w:bCs/>
      <w:sz w:val="32"/>
      <w:szCs w:val="32"/>
    </w:rPr>
  </w:style>
  <w:style w:type="paragraph" w:styleId="4">
    <w:name w:val="heading 4"/>
    <w:basedOn w:val="a"/>
    <w:next w:val="a"/>
    <w:link w:val="4Char"/>
    <w:unhideWhenUsed/>
    <w:qFormat/>
    <w:pPr>
      <w:spacing w:before="120" w:after="120" w:line="360" w:lineRule="auto"/>
      <w:ind w:firstLineChars="200" w:firstLine="200"/>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Pr>
      <w:rFonts w:ascii="Arial" w:eastAsia="黑体" w:hAnsi="Arial"/>
      <w:sz w:val="20"/>
    </w:rPr>
  </w:style>
  <w:style w:type="paragraph" w:styleId="a4">
    <w:name w:val="annotation text"/>
    <w:basedOn w:val="a"/>
    <w:link w:val="Char"/>
    <w:uiPriority w:val="99"/>
    <w:unhideWhenUsed/>
    <w:qFormat/>
    <w:pPr>
      <w:jc w:val="left"/>
    </w:pPr>
  </w:style>
  <w:style w:type="paragraph" w:styleId="30">
    <w:name w:val="toc 3"/>
    <w:basedOn w:val="a"/>
    <w:next w:val="a"/>
    <w:autoRedefine/>
    <w:uiPriority w:val="39"/>
    <w:unhideWhenUsed/>
    <w:qFormat/>
    <w:pPr>
      <w:widowControl/>
      <w:spacing w:after="100" w:line="259" w:lineRule="auto"/>
      <w:ind w:left="440"/>
      <w:jc w:val="left"/>
    </w:pPr>
    <w:rPr>
      <w:rFonts w:cs="Times New Roman"/>
      <w:kern w:val="0"/>
      <w:sz w:val="22"/>
    </w:r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pPr>
      <w:widowControl/>
      <w:tabs>
        <w:tab w:val="right" w:leader="dot" w:pos="8296"/>
      </w:tabs>
      <w:spacing w:after="100" w:line="259" w:lineRule="auto"/>
      <w:jc w:val="center"/>
    </w:pPr>
    <w:rPr>
      <w:rFonts w:cs="Times New Roman"/>
      <w:kern w:val="0"/>
      <w:sz w:val="22"/>
    </w:rPr>
  </w:style>
  <w:style w:type="paragraph" w:styleId="20">
    <w:name w:val="toc 2"/>
    <w:basedOn w:val="a"/>
    <w:next w:val="a"/>
    <w:autoRedefine/>
    <w:uiPriority w:val="39"/>
    <w:unhideWhenUsed/>
    <w:qFormat/>
    <w:pPr>
      <w:widowControl/>
      <w:spacing w:after="100" w:line="259" w:lineRule="auto"/>
      <w:ind w:left="220"/>
      <w:jc w:val="left"/>
    </w:pPr>
    <w:rPr>
      <w:rFonts w:cs="Times New Roman"/>
      <w:kern w:val="0"/>
      <w:sz w:val="22"/>
    </w:rPr>
  </w:style>
  <w:style w:type="paragraph" w:styleId="a8">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9">
    <w:name w:val="annotation subject"/>
    <w:basedOn w:val="a4"/>
    <w:next w:val="a4"/>
    <w:link w:val="Char3"/>
    <w:uiPriority w:val="99"/>
    <w:semiHidden/>
    <w:unhideWhenUsed/>
    <w:qFormat/>
    <w:rPr>
      <w:b/>
      <w:bCs/>
    </w:rPr>
  </w:style>
  <w:style w:type="table" w:styleId="aa">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qFormat/>
    <w:rPr>
      <w:color w:val="0000FF"/>
      <w:u w:val="single"/>
    </w:rPr>
  </w:style>
  <w:style w:type="character" w:styleId="ac">
    <w:name w:val="annotation reference"/>
    <w:basedOn w:val="a0"/>
    <w:uiPriority w:val="99"/>
    <w:semiHidden/>
    <w:unhideWhenUsed/>
    <w:qFormat/>
    <w:rPr>
      <w:sz w:val="21"/>
      <w:szCs w:val="21"/>
    </w:rPr>
  </w:style>
  <w:style w:type="character" w:customStyle="1" w:styleId="2Char">
    <w:name w:val="标题 2 Char"/>
    <w:basedOn w:val="a0"/>
    <w:link w:val="2"/>
    <w:qFormat/>
    <w:rPr>
      <w:rFonts w:ascii="宋体" w:eastAsia="Times New Roman" w:hAnsi="宋体" w:cs="Times New Roman"/>
      <w:bCs/>
      <w:kern w:val="0"/>
      <w:sz w:val="32"/>
      <w:szCs w:val="36"/>
    </w:rPr>
  </w:style>
  <w:style w:type="character" w:customStyle="1" w:styleId="4Char">
    <w:name w:val="标题 4 Char"/>
    <w:basedOn w:val="a0"/>
    <w:link w:val="4"/>
    <w:qFormat/>
    <w:rPr>
      <w:rFonts w:asciiTheme="majorHAnsi" w:eastAsiaTheme="majorEastAsia" w:hAnsiTheme="majorHAnsi" w:cstheme="majorBidi"/>
      <w:b/>
      <w:bCs/>
      <w:sz w:val="28"/>
      <w:szCs w:val="28"/>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paragraph" w:styleId="ad">
    <w:name w:val="List Paragraph"/>
    <w:basedOn w:val="a"/>
    <w:uiPriority w:val="34"/>
    <w:qFormat/>
    <w:pPr>
      <w:ind w:firstLineChars="200" w:firstLine="420"/>
    </w:pPr>
  </w:style>
  <w:style w:type="character" w:customStyle="1" w:styleId="Char">
    <w:name w:val="批注文字 Char"/>
    <w:basedOn w:val="a0"/>
    <w:link w:val="a4"/>
    <w:uiPriority w:val="99"/>
    <w:qFormat/>
  </w:style>
  <w:style w:type="character" w:customStyle="1" w:styleId="Char3">
    <w:name w:val="批注主题 Char"/>
    <w:basedOn w:val="Char"/>
    <w:link w:val="a9"/>
    <w:uiPriority w:val="99"/>
    <w:semiHidden/>
    <w:qFormat/>
    <w:rPr>
      <w:b/>
      <w:bCs/>
    </w:rPr>
  </w:style>
  <w:style w:type="character" w:customStyle="1" w:styleId="Char0">
    <w:name w:val="批注框文本 Char"/>
    <w:basedOn w:val="a0"/>
    <w:link w:val="a5"/>
    <w:uiPriority w:val="99"/>
    <w:semiHidden/>
    <w:qFormat/>
    <w:rPr>
      <w:sz w:val="18"/>
      <w:szCs w:val="18"/>
    </w:rPr>
  </w:style>
  <w:style w:type="paragraph" w:customStyle="1" w:styleId="11">
    <w:name w:val="修订1"/>
    <w:hidden/>
    <w:uiPriority w:val="99"/>
    <w:semiHidden/>
    <w:qFormat/>
    <w:rPr>
      <w:kern w:val="2"/>
      <w:sz w:val="21"/>
      <w:szCs w:val="22"/>
    </w:rPr>
  </w:style>
  <w:style w:type="paragraph" w:customStyle="1" w:styleId="21">
    <w:name w:val="修订2"/>
    <w:hidden/>
    <w:uiPriority w:val="99"/>
    <w:unhideWhenUsed/>
    <w:qFormat/>
    <w:rPr>
      <w:kern w:val="2"/>
      <w:sz w:val="21"/>
      <w:szCs w:val="22"/>
    </w:rPr>
  </w:style>
  <w:style w:type="character" w:customStyle="1" w:styleId="1Char">
    <w:name w:val="标题 1 Char"/>
    <w:basedOn w:val="a0"/>
    <w:link w:val="1"/>
    <w:uiPriority w:val="9"/>
    <w:qFormat/>
    <w:rPr>
      <w:b/>
      <w:bCs/>
      <w:kern w:val="44"/>
      <w:sz w:val="44"/>
      <w:szCs w:val="44"/>
    </w:rPr>
  </w:style>
  <w:style w:type="paragraph" w:customStyle="1" w:styleId="TOC1">
    <w:name w:val="TOC 标题1"/>
    <w:basedOn w:val="1"/>
    <w:next w:val="a"/>
    <w:uiPriority w:val="39"/>
    <w:unhideWhenUsed/>
    <w:qFormat/>
    <w:pPr>
      <w:keepNext w:val="0"/>
      <w:keepLines w:val="0"/>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3Char">
    <w:name w:val="标题 3 Char"/>
    <w:basedOn w:val="a0"/>
    <w:link w:val="3"/>
    <w:uiPriority w:val="9"/>
    <w:qFormat/>
    <w:rPr>
      <w:b/>
      <w:bCs/>
      <w:kern w:val="2"/>
      <w:sz w:val="32"/>
      <w:szCs w:val="32"/>
    </w:rPr>
  </w:style>
  <w:style w:type="paragraph" w:customStyle="1" w:styleId="31">
    <w:name w:val="修订3"/>
    <w:hidden/>
    <w:uiPriority w:val="99"/>
    <w:unhideWhenUsed/>
    <w:qFormat/>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snapToGrid w:val="0"/>
      <w:spacing w:before="100" w:beforeAutospacing="1" w:after="100" w:afterAutospacing="1" w:line="560" w:lineRule="exact"/>
      <w:ind w:firstLineChars="200" w:firstLine="200"/>
      <w:jc w:val="left"/>
      <w:outlineLvl w:val="1"/>
    </w:pPr>
    <w:rPr>
      <w:rFonts w:ascii="宋体" w:eastAsia="Times New Roman" w:hAnsi="宋体" w:cs="Times New Roman" w:hint="eastAsia"/>
      <w:bCs/>
      <w:kern w:val="0"/>
      <w:sz w:val="32"/>
      <w:szCs w:val="36"/>
    </w:rPr>
  </w:style>
  <w:style w:type="paragraph" w:styleId="3">
    <w:name w:val="heading 3"/>
    <w:basedOn w:val="a"/>
    <w:next w:val="a"/>
    <w:link w:val="3Char"/>
    <w:uiPriority w:val="9"/>
    <w:unhideWhenUsed/>
    <w:qFormat/>
    <w:pPr>
      <w:spacing w:before="260" w:after="260" w:line="415" w:lineRule="auto"/>
      <w:outlineLvl w:val="2"/>
    </w:pPr>
    <w:rPr>
      <w:b/>
      <w:bCs/>
      <w:sz w:val="32"/>
      <w:szCs w:val="32"/>
    </w:rPr>
  </w:style>
  <w:style w:type="paragraph" w:styleId="4">
    <w:name w:val="heading 4"/>
    <w:basedOn w:val="a"/>
    <w:next w:val="a"/>
    <w:link w:val="4Char"/>
    <w:unhideWhenUsed/>
    <w:qFormat/>
    <w:pPr>
      <w:spacing w:before="120" w:after="120" w:line="360" w:lineRule="auto"/>
      <w:ind w:firstLineChars="200" w:firstLine="200"/>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Pr>
      <w:rFonts w:ascii="Arial" w:eastAsia="黑体" w:hAnsi="Arial"/>
      <w:sz w:val="20"/>
    </w:rPr>
  </w:style>
  <w:style w:type="paragraph" w:styleId="a4">
    <w:name w:val="annotation text"/>
    <w:basedOn w:val="a"/>
    <w:link w:val="Char"/>
    <w:uiPriority w:val="99"/>
    <w:unhideWhenUsed/>
    <w:qFormat/>
    <w:pPr>
      <w:jc w:val="left"/>
    </w:pPr>
  </w:style>
  <w:style w:type="paragraph" w:styleId="30">
    <w:name w:val="toc 3"/>
    <w:basedOn w:val="a"/>
    <w:next w:val="a"/>
    <w:autoRedefine/>
    <w:uiPriority w:val="39"/>
    <w:unhideWhenUsed/>
    <w:qFormat/>
    <w:pPr>
      <w:widowControl/>
      <w:spacing w:after="100" w:line="259" w:lineRule="auto"/>
      <w:ind w:left="440"/>
      <w:jc w:val="left"/>
    </w:pPr>
    <w:rPr>
      <w:rFonts w:cs="Times New Roman"/>
      <w:kern w:val="0"/>
      <w:sz w:val="22"/>
    </w:r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pPr>
      <w:widowControl/>
      <w:tabs>
        <w:tab w:val="right" w:leader="dot" w:pos="8296"/>
      </w:tabs>
      <w:spacing w:after="100" w:line="259" w:lineRule="auto"/>
      <w:jc w:val="center"/>
    </w:pPr>
    <w:rPr>
      <w:rFonts w:cs="Times New Roman"/>
      <w:kern w:val="0"/>
      <w:sz w:val="22"/>
    </w:rPr>
  </w:style>
  <w:style w:type="paragraph" w:styleId="20">
    <w:name w:val="toc 2"/>
    <w:basedOn w:val="a"/>
    <w:next w:val="a"/>
    <w:autoRedefine/>
    <w:uiPriority w:val="39"/>
    <w:unhideWhenUsed/>
    <w:qFormat/>
    <w:pPr>
      <w:widowControl/>
      <w:spacing w:after="100" w:line="259" w:lineRule="auto"/>
      <w:ind w:left="220"/>
      <w:jc w:val="left"/>
    </w:pPr>
    <w:rPr>
      <w:rFonts w:cs="Times New Roman"/>
      <w:kern w:val="0"/>
      <w:sz w:val="22"/>
    </w:rPr>
  </w:style>
  <w:style w:type="paragraph" w:styleId="a8">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9">
    <w:name w:val="annotation subject"/>
    <w:basedOn w:val="a4"/>
    <w:next w:val="a4"/>
    <w:link w:val="Char3"/>
    <w:uiPriority w:val="99"/>
    <w:semiHidden/>
    <w:unhideWhenUsed/>
    <w:qFormat/>
    <w:rPr>
      <w:b/>
      <w:bCs/>
    </w:rPr>
  </w:style>
  <w:style w:type="table" w:styleId="aa">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qFormat/>
    <w:rPr>
      <w:color w:val="0000FF"/>
      <w:u w:val="single"/>
    </w:rPr>
  </w:style>
  <w:style w:type="character" w:styleId="ac">
    <w:name w:val="annotation reference"/>
    <w:basedOn w:val="a0"/>
    <w:uiPriority w:val="99"/>
    <w:semiHidden/>
    <w:unhideWhenUsed/>
    <w:qFormat/>
    <w:rPr>
      <w:sz w:val="21"/>
      <w:szCs w:val="21"/>
    </w:rPr>
  </w:style>
  <w:style w:type="character" w:customStyle="1" w:styleId="2Char">
    <w:name w:val="标题 2 Char"/>
    <w:basedOn w:val="a0"/>
    <w:link w:val="2"/>
    <w:qFormat/>
    <w:rPr>
      <w:rFonts w:ascii="宋体" w:eastAsia="Times New Roman" w:hAnsi="宋体" w:cs="Times New Roman"/>
      <w:bCs/>
      <w:kern w:val="0"/>
      <w:sz w:val="32"/>
      <w:szCs w:val="36"/>
    </w:rPr>
  </w:style>
  <w:style w:type="character" w:customStyle="1" w:styleId="4Char">
    <w:name w:val="标题 4 Char"/>
    <w:basedOn w:val="a0"/>
    <w:link w:val="4"/>
    <w:qFormat/>
    <w:rPr>
      <w:rFonts w:asciiTheme="majorHAnsi" w:eastAsiaTheme="majorEastAsia" w:hAnsiTheme="majorHAnsi" w:cstheme="majorBidi"/>
      <w:b/>
      <w:bCs/>
      <w:sz w:val="28"/>
      <w:szCs w:val="28"/>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paragraph" w:styleId="ad">
    <w:name w:val="List Paragraph"/>
    <w:basedOn w:val="a"/>
    <w:uiPriority w:val="34"/>
    <w:qFormat/>
    <w:pPr>
      <w:ind w:firstLineChars="200" w:firstLine="420"/>
    </w:pPr>
  </w:style>
  <w:style w:type="character" w:customStyle="1" w:styleId="Char">
    <w:name w:val="批注文字 Char"/>
    <w:basedOn w:val="a0"/>
    <w:link w:val="a4"/>
    <w:uiPriority w:val="99"/>
    <w:qFormat/>
  </w:style>
  <w:style w:type="character" w:customStyle="1" w:styleId="Char3">
    <w:name w:val="批注主题 Char"/>
    <w:basedOn w:val="Char"/>
    <w:link w:val="a9"/>
    <w:uiPriority w:val="99"/>
    <w:semiHidden/>
    <w:qFormat/>
    <w:rPr>
      <w:b/>
      <w:bCs/>
    </w:rPr>
  </w:style>
  <w:style w:type="character" w:customStyle="1" w:styleId="Char0">
    <w:name w:val="批注框文本 Char"/>
    <w:basedOn w:val="a0"/>
    <w:link w:val="a5"/>
    <w:uiPriority w:val="99"/>
    <w:semiHidden/>
    <w:qFormat/>
    <w:rPr>
      <w:sz w:val="18"/>
      <w:szCs w:val="18"/>
    </w:rPr>
  </w:style>
  <w:style w:type="paragraph" w:customStyle="1" w:styleId="11">
    <w:name w:val="修订1"/>
    <w:hidden/>
    <w:uiPriority w:val="99"/>
    <w:semiHidden/>
    <w:qFormat/>
    <w:rPr>
      <w:kern w:val="2"/>
      <w:sz w:val="21"/>
      <w:szCs w:val="22"/>
    </w:rPr>
  </w:style>
  <w:style w:type="paragraph" w:customStyle="1" w:styleId="21">
    <w:name w:val="修订2"/>
    <w:hidden/>
    <w:uiPriority w:val="99"/>
    <w:unhideWhenUsed/>
    <w:qFormat/>
    <w:rPr>
      <w:kern w:val="2"/>
      <w:sz w:val="21"/>
      <w:szCs w:val="22"/>
    </w:rPr>
  </w:style>
  <w:style w:type="character" w:customStyle="1" w:styleId="1Char">
    <w:name w:val="标题 1 Char"/>
    <w:basedOn w:val="a0"/>
    <w:link w:val="1"/>
    <w:uiPriority w:val="9"/>
    <w:qFormat/>
    <w:rPr>
      <w:b/>
      <w:bCs/>
      <w:kern w:val="44"/>
      <w:sz w:val="44"/>
      <w:szCs w:val="44"/>
    </w:rPr>
  </w:style>
  <w:style w:type="paragraph" w:customStyle="1" w:styleId="TOC1">
    <w:name w:val="TOC 标题1"/>
    <w:basedOn w:val="1"/>
    <w:next w:val="a"/>
    <w:uiPriority w:val="39"/>
    <w:unhideWhenUsed/>
    <w:qFormat/>
    <w:pPr>
      <w:keepNext w:val="0"/>
      <w:keepLines w:val="0"/>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3Char">
    <w:name w:val="标题 3 Char"/>
    <w:basedOn w:val="a0"/>
    <w:link w:val="3"/>
    <w:uiPriority w:val="9"/>
    <w:qFormat/>
    <w:rPr>
      <w:b/>
      <w:bCs/>
      <w:kern w:val="2"/>
      <w:sz w:val="32"/>
      <w:szCs w:val="32"/>
    </w:rPr>
  </w:style>
  <w:style w:type="paragraph" w:customStyle="1" w:styleId="31">
    <w:name w:val="修订3"/>
    <w:hidden/>
    <w:uiPriority w:val="99"/>
    <w:unhideWhenUsed/>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4D9FE9-258F-46CD-94BA-87A1E9F46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467</Words>
  <Characters>2662</Characters>
  <Application>Microsoft Office Word</Application>
  <DocSecurity>0</DocSecurity>
  <Lines>22</Lines>
  <Paragraphs>6</Paragraphs>
  <ScaleCrop>false</ScaleCrop>
  <Company/>
  <LinksUpToDate>false</LinksUpToDate>
  <CharactersWithSpaces>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TN</cp:lastModifiedBy>
  <cp:revision>6</cp:revision>
  <cp:lastPrinted>2025-11-11T07:08:00Z</cp:lastPrinted>
  <dcterms:created xsi:type="dcterms:W3CDTF">2025-12-03T07:54:00Z</dcterms:created>
  <dcterms:modified xsi:type="dcterms:W3CDTF">2025-12-04T01:57:00Z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B4E573507F8545DF8D81A18EC93AA327_12</vt:lpwstr>
  </property>
  <property fmtid="{D5CDD505-2E9C-101B-9397-08002B2CF9AE}" pid="4" name="KSOTemplateDocerSaveRecord">
    <vt:lpwstr>eyJoZGlkIjoiZDhjNWRhZjIzNjZlMWQ4ODQ3M2FhZDhjYzQ0NDM1YjMiLCJ1c2VySWQiOiI0MTg3OTczMzYifQ==</vt:lpwstr>
  </property>
</Properties>
</file>