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leader="dot" w:pos="8844"/>
        </w:tabs>
        <w:spacing w:line="300" w:lineRule="auto"/>
        <w:rPr>
          <w:rFonts w:ascii="Times New Roman" w:hAnsi="Times New Roman" w:eastAsia="黑体"/>
          <w:kern w:val="0"/>
          <w:sz w:val="32"/>
          <w:szCs w:val="32"/>
        </w:rPr>
      </w:pPr>
      <w:r>
        <w:rPr>
          <w:rFonts w:hint="eastAsia" w:ascii="Times New Roman" w:hAnsi="Times New Roman" w:eastAsia="黑体"/>
          <w:kern w:val="0"/>
          <w:sz w:val="32"/>
          <w:szCs w:val="32"/>
        </w:rPr>
        <w:t>附件2</w:t>
      </w:r>
    </w:p>
    <w:p>
      <w:pPr>
        <w:widowControl/>
        <w:tabs>
          <w:tab w:val="right" w:leader="dot" w:pos="8844"/>
        </w:tabs>
        <w:spacing w:line="300" w:lineRule="auto"/>
        <w:jc w:val="center"/>
        <w:rPr>
          <w:rFonts w:ascii="Times New Roman" w:hAnsi="Times New Roman" w:eastAsia="黑体"/>
          <w:kern w:val="0"/>
          <w:sz w:val="32"/>
          <w:szCs w:val="32"/>
        </w:rPr>
      </w:pPr>
      <w:r>
        <w:rPr>
          <w:rFonts w:hint="eastAsia" w:ascii="Times New Roman" w:hAnsi="Times New Roman" w:eastAsia="黑体"/>
          <w:kern w:val="0"/>
          <w:sz w:val="32"/>
          <w:szCs w:val="32"/>
        </w:rPr>
        <w:t>皮肤变态反应 局部淋巴结试验方法：BrdU-FCM</w:t>
      </w:r>
    </w:p>
    <w:p>
      <w:pPr>
        <w:spacing w:before="156" w:beforeLines="50" w:after="156" w:afterLines="50" w:line="300" w:lineRule="auto"/>
        <w:jc w:val="center"/>
        <w:rPr>
          <w:rFonts w:ascii="Times New Roman" w:hAnsi="Times New Roman" w:eastAsia="黑体"/>
          <w:kern w:val="0"/>
          <w:szCs w:val="21"/>
        </w:rPr>
      </w:pPr>
      <w:r>
        <w:rPr>
          <w:rFonts w:ascii="Times New Roman" w:hAnsi="Times New Roman" w:eastAsia="黑体"/>
          <w:kern w:val="0"/>
          <w:szCs w:val="21"/>
        </w:rPr>
        <w:t>Skin Sensitization: Local Lymph Node Assay: BrdU-</w:t>
      </w:r>
      <w:r>
        <w:rPr>
          <w:rFonts w:hint="eastAsia" w:ascii="Times New Roman" w:hAnsi="Times New Roman" w:eastAsia="黑体"/>
          <w:kern w:val="0"/>
          <w:szCs w:val="21"/>
        </w:rPr>
        <w:t>Fl</w:t>
      </w:r>
      <w:r>
        <w:rPr>
          <w:rFonts w:ascii="Times New Roman" w:hAnsi="Times New Roman" w:eastAsia="黑体"/>
          <w:kern w:val="0"/>
          <w:szCs w:val="21"/>
        </w:rPr>
        <w:t xml:space="preserve">ow </w:t>
      </w:r>
      <w:r>
        <w:rPr>
          <w:rFonts w:hint="eastAsia" w:ascii="Times New Roman" w:hAnsi="Times New Roman" w:eastAsia="黑体"/>
          <w:kern w:val="0"/>
          <w:szCs w:val="21"/>
        </w:rPr>
        <w:t>C</w:t>
      </w:r>
      <w:r>
        <w:rPr>
          <w:rFonts w:ascii="Times New Roman" w:hAnsi="Times New Roman" w:eastAsia="黑体"/>
          <w:kern w:val="0"/>
          <w:szCs w:val="21"/>
        </w:rPr>
        <w:t xml:space="preserve">ytometry </w:t>
      </w:r>
      <w:r>
        <w:rPr>
          <w:rFonts w:hint="eastAsia" w:ascii="Times New Roman" w:hAnsi="Times New Roman" w:eastAsia="黑体"/>
          <w:kern w:val="0"/>
          <w:szCs w:val="21"/>
        </w:rPr>
        <w:t>M</w:t>
      </w:r>
      <w:r>
        <w:rPr>
          <w:rFonts w:ascii="Times New Roman" w:hAnsi="Times New Roman" w:eastAsia="黑体"/>
          <w:kern w:val="0"/>
          <w:szCs w:val="21"/>
        </w:rPr>
        <w:t>ethod（</w:t>
      </w:r>
      <w:r>
        <w:rPr>
          <w:rFonts w:hint="eastAsia" w:ascii="Times New Roman" w:hAnsi="Times New Roman" w:eastAsia="黑体"/>
          <w:kern w:val="0"/>
          <w:szCs w:val="21"/>
        </w:rPr>
        <w:t>LLNA: BrdU-FCM</w:t>
      </w:r>
      <w:r>
        <w:rPr>
          <w:rFonts w:ascii="Times New Roman" w:hAnsi="Times New Roman" w:eastAsia="黑体"/>
          <w:kern w:val="0"/>
          <w:szCs w:val="21"/>
        </w:rPr>
        <w:t>）</w:t>
      </w:r>
    </w:p>
    <w:p>
      <w:pPr>
        <w:spacing w:before="156" w:beforeLines="50" w:after="156" w:afterLines="50" w:line="300" w:lineRule="auto"/>
        <w:rPr>
          <w:rFonts w:ascii="Times New Roman" w:hAnsi="Times New Roman" w:eastAsia="黑体"/>
          <w:bCs/>
          <w:kern w:val="0"/>
          <w:szCs w:val="21"/>
        </w:rPr>
      </w:pPr>
      <w:r>
        <w:rPr>
          <w:rFonts w:ascii="Times New Roman" w:hAnsi="Times New Roman" w:eastAsia="黑体"/>
          <w:bCs/>
          <w:kern w:val="0"/>
          <w:szCs w:val="21"/>
        </w:rPr>
        <w:t xml:space="preserve">1 </w:t>
      </w:r>
      <w:r>
        <w:rPr>
          <w:rFonts w:hint="eastAsia" w:ascii="Times New Roman" w:hAnsi="Times New Roman" w:eastAsia="黑体"/>
          <w:bCs/>
          <w:kern w:val="0"/>
          <w:szCs w:val="21"/>
        </w:rPr>
        <w:t xml:space="preserve"> </w:t>
      </w:r>
      <w:r>
        <w:rPr>
          <w:rFonts w:ascii="Times New Roman" w:hAnsi="Times New Roman" w:eastAsia="黑体"/>
          <w:bCs/>
          <w:kern w:val="0"/>
          <w:szCs w:val="21"/>
        </w:rPr>
        <w:t>范围</w:t>
      </w:r>
    </w:p>
    <w:p>
      <w:pPr>
        <w:autoSpaceDE w:val="0"/>
        <w:autoSpaceDN w:val="0"/>
        <w:spacing w:line="300" w:lineRule="auto"/>
        <w:ind w:firstLine="420" w:firstLineChars="200"/>
        <w:rPr>
          <w:rFonts w:ascii="Times New Roman" w:hAnsi="Times New Roman"/>
          <w:szCs w:val="21"/>
        </w:rPr>
      </w:pPr>
      <w:r>
        <w:rPr>
          <w:rFonts w:ascii="Times New Roman" w:hAnsi="Times New Roman"/>
          <w:kern w:val="0"/>
          <w:szCs w:val="21"/>
        </w:rPr>
        <w:t>本方法规定了小鼠局部淋巴结试验（</w:t>
      </w:r>
      <w:r>
        <w:rPr>
          <w:rFonts w:hint="eastAsia" w:ascii="Times New Roman" w:hAnsi="Times New Roman"/>
          <w:kern w:val="0"/>
          <w:szCs w:val="21"/>
        </w:rPr>
        <w:t>LLNA: BrdU-FCM</w:t>
      </w:r>
      <w:r>
        <w:rPr>
          <w:rFonts w:ascii="Times New Roman" w:hAnsi="Times New Roman"/>
          <w:kern w:val="0"/>
          <w:szCs w:val="21"/>
        </w:rPr>
        <w:t>）的基本原则和试验要求。</w:t>
      </w:r>
    </w:p>
    <w:p>
      <w:pPr>
        <w:autoSpaceDE w:val="0"/>
        <w:autoSpaceDN w:val="0"/>
        <w:spacing w:line="300" w:lineRule="auto"/>
        <w:ind w:firstLine="420" w:firstLineChars="200"/>
        <w:rPr>
          <w:rFonts w:ascii="Times New Roman" w:hAnsi="Times New Roman"/>
          <w:szCs w:val="21"/>
        </w:rPr>
      </w:pPr>
      <w:r>
        <w:rPr>
          <w:rFonts w:ascii="Times New Roman" w:hAnsi="Times New Roman"/>
          <w:kern w:val="0"/>
          <w:szCs w:val="21"/>
        </w:rPr>
        <w:t>本方法适用于化妆品用化学原料皮肤变态反应的检测。</w:t>
      </w:r>
    </w:p>
    <w:p>
      <w:pPr>
        <w:spacing w:before="156" w:beforeLines="50" w:after="156" w:afterLines="50" w:line="300" w:lineRule="auto"/>
        <w:rPr>
          <w:rFonts w:ascii="Times New Roman" w:hAnsi="Times New Roman" w:eastAsia="黑体"/>
          <w:bCs/>
          <w:kern w:val="0"/>
          <w:szCs w:val="21"/>
        </w:rPr>
      </w:pPr>
      <w:r>
        <w:rPr>
          <w:rFonts w:ascii="Times New Roman" w:hAnsi="Times New Roman" w:eastAsia="黑体"/>
          <w:bCs/>
          <w:kern w:val="0"/>
          <w:szCs w:val="21"/>
        </w:rPr>
        <w:t xml:space="preserve">2 </w:t>
      </w:r>
      <w:r>
        <w:rPr>
          <w:rFonts w:hint="eastAsia" w:ascii="Times New Roman" w:hAnsi="Times New Roman" w:eastAsia="黑体"/>
          <w:bCs/>
          <w:kern w:val="0"/>
          <w:szCs w:val="21"/>
        </w:rPr>
        <w:t xml:space="preserve"> </w:t>
      </w:r>
      <w:r>
        <w:rPr>
          <w:rFonts w:ascii="Times New Roman" w:hAnsi="Times New Roman" w:eastAsia="黑体"/>
          <w:bCs/>
          <w:kern w:val="0"/>
          <w:szCs w:val="21"/>
        </w:rPr>
        <w:t>试验目的</w:t>
      </w:r>
    </w:p>
    <w:p>
      <w:pPr>
        <w:autoSpaceDE w:val="0"/>
        <w:autoSpaceDN w:val="0"/>
        <w:spacing w:line="300" w:lineRule="auto"/>
        <w:ind w:firstLine="420" w:firstLineChars="200"/>
        <w:rPr>
          <w:rFonts w:ascii="Times New Roman" w:hAnsi="Times New Roman"/>
          <w:kern w:val="0"/>
          <w:szCs w:val="21"/>
        </w:rPr>
      </w:pPr>
      <w:r>
        <w:rPr>
          <w:rFonts w:hint="eastAsia" w:ascii="Times New Roman" w:hAnsi="Times New Roman"/>
          <w:kern w:val="0"/>
          <w:szCs w:val="21"/>
        </w:rPr>
        <w:t>检测和评价</w:t>
      </w:r>
      <w:r>
        <w:rPr>
          <w:rFonts w:ascii="Times New Roman" w:hAnsi="Times New Roman"/>
          <w:kern w:val="0"/>
          <w:szCs w:val="21"/>
        </w:rPr>
        <w:t>重复接触化妆品用化学原料对哺乳动物皮肤局部是否可引起变态反应及其程度</w:t>
      </w:r>
      <w:r>
        <w:rPr>
          <w:rFonts w:hint="eastAsia" w:ascii="Times New Roman" w:hAnsi="Times New Roman"/>
          <w:kern w:val="0"/>
          <w:szCs w:val="21"/>
        </w:rPr>
        <w:t>，预测其潜在致敏性</w:t>
      </w:r>
      <w:r>
        <w:rPr>
          <w:rFonts w:ascii="Times New Roman" w:hAnsi="Times New Roman"/>
          <w:kern w:val="0"/>
          <w:szCs w:val="21"/>
        </w:rPr>
        <w:t>。</w:t>
      </w:r>
    </w:p>
    <w:p>
      <w:pPr>
        <w:spacing w:before="156" w:beforeLines="50" w:after="156" w:afterLines="50" w:line="300" w:lineRule="auto"/>
        <w:rPr>
          <w:rFonts w:ascii="Times New Roman" w:hAnsi="Times New Roman" w:eastAsia="黑体"/>
          <w:bCs/>
          <w:kern w:val="0"/>
          <w:szCs w:val="21"/>
        </w:rPr>
      </w:pPr>
      <w:r>
        <w:rPr>
          <w:rFonts w:ascii="Times New Roman" w:hAnsi="Times New Roman" w:eastAsia="黑体"/>
          <w:bCs/>
          <w:kern w:val="0"/>
          <w:szCs w:val="21"/>
        </w:rPr>
        <w:t xml:space="preserve">3 </w:t>
      </w:r>
      <w:r>
        <w:rPr>
          <w:rFonts w:hint="eastAsia" w:ascii="Times New Roman" w:hAnsi="Times New Roman" w:eastAsia="黑体"/>
          <w:bCs/>
          <w:kern w:val="0"/>
          <w:szCs w:val="21"/>
        </w:rPr>
        <w:t xml:space="preserve"> </w:t>
      </w:r>
      <w:r>
        <w:rPr>
          <w:rFonts w:ascii="Times New Roman" w:hAnsi="Times New Roman" w:eastAsia="黑体"/>
          <w:bCs/>
          <w:kern w:val="0"/>
          <w:szCs w:val="21"/>
        </w:rPr>
        <w:t>定义</w:t>
      </w:r>
    </w:p>
    <w:p>
      <w:pPr>
        <w:autoSpaceDE w:val="0"/>
        <w:autoSpaceDN w:val="0"/>
        <w:spacing w:before="156" w:beforeLines="50" w:after="156" w:afterLines="50" w:line="300" w:lineRule="auto"/>
        <w:rPr>
          <w:rFonts w:ascii="Times New Roman" w:hAnsi="Times New Roman"/>
          <w:kern w:val="0"/>
          <w:szCs w:val="21"/>
        </w:rPr>
      </w:pPr>
      <w:r>
        <w:rPr>
          <w:rFonts w:ascii="Times New Roman" w:hAnsi="Times New Roman"/>
          <w:kern w:val="0"/>
          <w:szCs w:val="21"/>
        </w:rPr>
        <w:t xml:space="preserve">3.1 </w:t>
      </w:r>
      <w:r>
        <w:rPr>
          <w:rFonts w:hint="eastAsia" w:ascii="Times New Roman" w:hAnsi="Times New Roman"/>
          <w:kern w:val="0"/>
          <w:szCs w:val="21"/>
        </w:rPr>
        <w:t xml:space="preserve"> </w:t>
      </w:r>
      <w:r>
        <w:rPr>
          <w:rFonts w:ascii="Times New Roman" w:hAnsi="Times New Roman"/>
          <w:kern w:val="0"/>
          <w:szCs w:val="21"/>
        </w:rPr>
        <w:t>皮肤变态反应（过敏性接触性皮炎）</w:t>
      </w:r>
      <w:r>
        <w:rPr>
          <w:rFonts w:hint="eastAsia" w:ascii="Times New Roman" w:hAnsi="Times New Roman"/>
          <w:kern w:val="0"/>
          <w:szCs w:val="21"/>
        </w:rPr>
        <w:t xml:space="preserve"> </w:t>
      </w:r>
      <w:r>
        <w:rPr>
          <w:rFonts w:ascii="Times New Roman" w:hAnsi="Times New Roman"/>
          <w:kern w:val="0"/>
          <w:szCs w:val="21"/>
        </w:rPr>
        <w:t>skin sensitization，allergic contact dermatitis</w:t>
      </w:r>
    </w:p>
    <w:p>
      <w:pPr>
        <w:autoSpaceDE w:val="0"/>
        <w:autoSpaceDN w:val="0"/>
        <w:spacing w:line="300" w:lineRule="auto"/>
        <w:ind w:firstLine="420" w:firstLineChars="200"/>
        <w:rPr>
          <w:rFonts w:ascii="Times New Roman" w:hAnsi="Times New Roman"/>
          <w:kern w:val="0"/>
          <w:szCs w:val="21"/>
        </w:rPr>
      </w:pPr>
      <w:r>
        <w:rPr>
          <w:rFonts w:hint="eastAsia" w:ascii="Times New Roman" w:hAnsi="Times New Roman"/>
          <w:kern w:val="0"/>
          <w:szCs w:val="21"/>
        </w:rPr>
        <w:t>皮肤对一种物质产生的免疫性皮肤反应。在人类中这种反应可能以瘙痒、红斑、丘疹、水疱、融合水疱为特征；动物的反应不同，可能只见到皮肤红斑和水肿。</w:t>
      </w:r>
    </w:p>
    <w:p>
      <w:pPr>
        <w:autoSpaceDE w:val="0"/>
        <w:autoSpaceDN w:val="0"/>
        <w:spacing w:before="156" w:beforeLines="50" w:after="156" w:afterLines="50" w:line="300" w:lineRule="auto"/>
        <w:rPr>
          <w:rFonts w:ascii="Times New Roman" w:hAnsi="Times New Roman"/>
          <w:kern w:val="0"/>
          <w:szCs w:val="21"/>
        </w:rPr>
      </w:pPr>
      <w:r>
        <w:rPr>
          <w:rFonts w:ascii="Times New Roman" w:hAnsi="Times New Roman"/>
          <w:kern w:val="0"/>
          <w:szCs w:val="21"/>
        </w:rPr>
        <w:t xml:space="preserve">3.2 </w:t>
      </w:r>
      <w:r>
        <w:rPr>
          <w:rFonts w:hint="eastAsia" w:ascii="Times New Roman" w:hAnsi="Times New Roman"/>
          <w:kern w:val="0"/>
          <w:szCs w:val="21"/>
        </w:rPr>
        <w:t xml:space="preserve"> </w:t>
      </w:r>
      <w:r>
        <w:rPr>
          <w:rFonts w:ascii="Times New Roman" w:hAnsi="Times New Roman"/>
          <w:kern w:val="0"/>
          <w:szCs w:val="21"/>
        </w:rPr>
        <w:t>皮肤刺激性</w:t>
      </w:r>
      <w:r>
        <w:rPr>
          <w:rFonts w:hint="eastAsia" w:ascii="Times New Roman" w:hAnsi="Times New Roman"/>
          <w:kern w:val="0"/>
          <w:szCs w:val="21"/>
        </w:rPr>
        <w:t xml:space="preserve"> </w:t>
      </w:r>
      <w:r>
        <w:rPr>
          <w:rFonts w:ascii="Times New Roman" w:hAnsi="Times New Roman"/>
          <w:kern w:val="0"/>
          <w:szCs w:val="21"/>
        </w:rPr>
        <w:t>dermal irritation</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皮肤涂抹受试物后局部产生的原发可逆性炎性变化。</w:t>
      </w:r>
    </w:p>
    <w:p>
      <w:pPr>
        <w:autoSpaceDE w:val="0"/>
        <w:autoSpaceDN w:val="0"/>
        <w:spacing w:before="156" w:beforeLines="50" w:after="156" w:afterLines="50" w:line="300" w:lineRule="auto"/>
        <w:rPr>
          <w:rFonts w:ascii="Times New Roman" w:hAnsi="Times New Roman"/>
          <w:kern w:val="0"/>
          <w:szCs w:val="21"/>
        </w:rPr>
      </w:pPr>
      <w:r>
        <w:rPr>
          <w:rFonts w:ascii="Times New Roman" w:hAnsi="Times New Roman"/>
          <w:kern w:val="0"/>
          <w:szCs w:val="21"/>
        </w:rPr>
        <w:t xml:space="preserve">3.3 </w:t>
      </w:r>
      <w:r>
        <w:rPr>
          <w:rFonts w:hint="eastAsia" w:ascii="Times New Roman" w:hAnsi="Times New Roman"/>
          <w:kern w:val="0"/>
          <w:szCs w:val="21"/>
        </w:rPr>
        <w:t xml:space="preserve"> </w:t>
      </w:r>
      <w:r>
        <w:rPr>
          <w:rFonts w:ascii="Times New Roman" w:hAnsi="Times New Roman"/>
          <w:kern w:val="0"/>
          <w:szCs w:val="21"/>
        </w:rPr>
        <w:t>刺激指数 stimulation index</w:t>
      </w:r>
      <w:r>
        <w:rPr>
          <w:rFonts w:hint="eastAsia" w:ascii="Times New Roman" w:hAnsi="Times New Roman"/>
          <w:kern w:val="0"/>
          <w:szCs w:val="21"/>
        </w:rPr>
        <w:t>，SI</w:t>
      </w:r>
    </w:p>
    <w:p>
      <w:pPr>
        <w:spacing w:line="300" w:lineRule="auto"/>
        <w:ind w:firstLine="420" w:firstLineChars="200"/>
        <w:rPr>
          <w:rFonts w:ascii="Times New Roman" w:hAnsi="Times New Roman"/>
          <w:kern w:val="0"/>
          <w:szCs w:val="21"/>
        </w:rPr>
      </w:pPr>
      <w:r>
        <w:rPr>
          <w:rFonts w:hint="eastAsia" w:ascii="Times New Roman" w:hAnsi="Times New Roman"/>
          <w:kern w:val="0"/>
          <w:szCs w:val="21"/>
        </w:rPr>
        <w:t>受试物组与溶剂对照组淋巴细胞增殖的比值，是评价受试物皮肤致敏能力的值。</w:t>
      </w:r>
    </w:p>
    <w:p>
      <w:pPr>
        <w:spacing w:before="156" w:beforeLines="50" w:after="156" w:afterLines="50" w:line="300" w:lineRule="auto"/>
        <w:rPr>
          <w:rFonts w:ascii="Times New Roman" w:hAnsi="Times New Roman" w:eastAsia="黑体"/>
          <w:bCs/>
          <w:kern w:val="0"/>
          <w:szCs w:val="21"/>
        </w:rPr>
      </w:pPr>
      <w:r>
        <w:rPr>
          <w:rFonts w:ascii="Times New Roman" w:hAnsi="Times New Roman" w:eastAsia="黑体"/>
          <w:bCs/>
          <w:kern w:val="0"/>
          <w:szCs w:val="21"/>
        </w:rPr>
        <w:t xml:space="preserve">4 </w:t>
      </w:r>
      <w:r>
        <w:rPr>
          <w:rFonts w:hint="eastAsia" w:ascii="Times New Roman" w:hAnsi="Times New Roman" w:eastAsia="黑体"/>
          <w:bCs/>
          <w:kern w:val="0"/>
          <w:szCs w:val="21"/>
        </w:rPr>
        <w:t xml:space="preserve"> </w:t>
      </w:r>
      <w:r>
        <w:rPr>
          <w:rFonts w:ascii="Times New Roman" w:hAnsi="Times New Roman" w:eastAsia="黑体"/>
          <w:bCs/>
          <w:kern w:val="0"/>
          <w:szCs w:val="21"/>
        </w:rPr>
        <w:t>试验原理</w:t>
      </w:r>
    </w:p>
    <w:p>
      <w:pPr>
        <w:spacing w:line="300" w:lineRule="auto"/>
        <w:ind w:firstLine="420" w:firstLineChars="200"/>
        <w:rPr>
          <w:rFonts w:ascii="Times New Roman" w:hAnsi="Times New Roman"/>
          <w:kern w:val="0"/>
          <w:szCs w:val="21"/>
        </w:rPr>
      </w:pPr>
      <w:r>
        <w:rPr>
          <w:rFonts w:hint="eastAsia" w:ascii="Times New Roman" w:hAnsi="Times New Roman"/>
          <w:kern w:val="0"/>
          <w:szCs w:val="21"/>
        </w:rPr>
        <w:t>过敏原引起暴露部位引流淋巴结内淋巴细胞增殖，其增殖程度与过敏原的剂量和致敏效力成比例。5-溴脱氧尿苷（5-bromo-2-deoxyuridine，BrdU）是一种胸腺嘧啶核苷类似物，可代替胸腺嘧啶掺入增殖细胞新合成的DNA链中，其含量反映引流淋巴结内细胞增殖程度。用流式细胞法（Flow Cytometry Method，FCM）测定淋巴细胞中BrdU阳性细胞数，通过计算受试物组与溶剂对照组BrdU阳性细胞数的比值即刺激指数评价受试物的皮肤致敏性。</w:t>
      </w:r>
    </w:p>
    <w:p>
      <w:pPr>
        <w:spacing w:before="156" w:beforeLines="50" w:after="156" w:afterLines="50" w:line="300" w:lineRule="auto"/>
        <w:rPr>
          <w:rFonts w:ascii="Times New Roman" w:hAnsi="Times New Roman" w:eastAsia="黑体"/>
          <w:bCs/>
          <w:kern w:val="0"/>
          <w:szCs w:val="21"/>
        </w:rPr>
      </w:pPr>
      <w:r>
        <w:rPr>
          <w:rFonts w:ascii="Times New Roman" w:hAnsi="Times New Roman" w:eastAsia="黑体"/>
          <w:bCs/>
          <w:kern w:val="0"/>
          <w:szCs w:val="21"/>
        </w:rPr>
        <w:t xml:space="preserve">5 </w:t>
      </w:r>
      <w:r>
        <w:rPr>
          <w:rFonts w:hint="eastAsia" w:ascii="Times New Roman" w:hAnsi="Times New Roman" w:eastAsia="黑体"/>
          <w:bCs/>
          <w:kern w:val="0"/>
          <w:szCs w:val="21"/>
        </w:rPr>
        <w:t xml:space="preserve"> </w:t>
      </w:r>
      <w:r>
        <w:rPr>
          <w:rFonts w:ascii="Times New Roman" w:hAnsi="Times New Roman" w:eastAsia="黑体"/>
          <w:bCs/>
          <w:kern w:val="0"/>
          <w:szCs w:val="21"/>
        </w:rPr>
        <w:t>试验的基本原则</w:t>
      </w:r>
    </w:p>
    <w:p>
      <w:pPr>
        <w:autoSpaceDE w:val="0"/>
        <w:autoSpaceDN w:val="0"/>
        <w:spacing w:before="156" w:beforeLines="50" w:after="156" w:afterLines="50" w:line="300" w:lineRule="auto"/>
        <w:rPr>
          <w:rFonts w:ascii="Times New Roman" w:hAnsi="Times New Roman"/>
          <w:kern w:val="0"/>
          <w:szCs w:val="21"/>
        </w:rPr>
      </w:pPr>
      <w:r>
        <w:rPr>
          <w:rFonts w:ascii="Times New Roman" w:hAnsi="Times New Roman"/>
          <w:kern w:val="0"/>
          <w:szCs w:val="21"/>
        </w:rPr>
        <w:t xml:space="preserve">5.1 </w:t>
      </w:r>
      <w:r>
        <w:rPr>
          <w:rFonts w:hint="eastAsia" w:ascii="Times New Roman" w:hAnsi="Times New Roman"/>
          <w:kern w:val="0"/>
          <w:szCs w:val="21"/>
        </w:rPr>
        <w:t xml:space="preserve"> </w:t>
      </w:r>
      <w:r>
        <w:rPr>
          <w:rFonts w:ascii="Times New Roman" w:hAnsi="Times New Roman"/>
          <w:kern w:val="0"/>
          <w:szCs w:val="21"/>
        </w:rPr>
        <w:t>实验动物和饲养环境</w:t>
      </w:r>
    </w:p>
    <w:p>
      <w:pPr>
        <w:pStyle w:val="2"/>
        <w:spacing w:line="300" w:lineRule="auto"/>
        <w:ind w:firstLine="420" w:firstLineChars="200"/>
        <w:rPr>
          <w:rFonts w:ascii="Times New Roman" w:hAnsi="Times New Roman"/>
          <w:kern w:val="0"/>
          <w:szCs w:val="21"/>
        </w:rPr>
      </w:pPr>
      <w:r>
        <w:rPr>
          <w:rFonts w:ascii="Times New Roman" w:hAnsi="Times New Roman"/>
          <w:kern w:val="0"/>
          <w:szCs w:val="21"/>
        </w:rPr>
        <w:t>选用SPF级BALB/c或CBA/J小鼠，8</w:t>
      </w:r>
      <w:r>
        <w:rPr>
          <w:rFonts w:hint="eastAsia" w:ascii="Times New Roman" w:hAnsi="Times New Roman"/>
          <w:kern w:val="0"/>
          <w:szCs w:val="21"/>
        </w:rPr>
        <w:t xml:space="preserve"> </w:t>
      </w:r>
      <w:r>
        <w:rPr>
          <w:rFonts w:ascii="Times New Roman" w:hAnsi="Times New Roman"/>
          <w:kern w:val="0"/>
          <w:szCs w:val="21"/>
        </w:rPr>
        <w:t>～</w:t>
      </w:r>
      <w:r>
        <w:rPr>
          <w:rFonts w:hint="eastAsia" w:ascii="Times New Roman" w:hAnsi="Times New Roman"/>
          <w:kern w:val="0"/>
          <w:szCs w:val="21"/>
        </w:rPr>
        <w:t xml:space="preserve"> </w:t>
      </w:r>
      <w:r>
        <w:rPr>
          <w:rFonts w:ascii="Times New Roman" w:hAnsi="Times New Roman"/>
          <w:kern w:val="0"/>
          <w:szCs w:val="21"/>
        </w:rPr>
        <w:t>12周龄，雌性，未孕或未曾产仔的。体重差异应不超过平均体重的20%。其他品系或雄性小鼠如经验证</w:t>
      </w:r>
      <w:r>
        <w:rPr>
          <w:rFonts w:hint="eastAsia" w:ascii="Times New Roman" w:hAnsi="Times New Roman"/>
          <w:kern w:val="0"/>
          <w:szCs w:val="21"/>
        </w:rPr>
        <w:t>LLNA: BrdU-FCM</w:t>
      </w:r>
      <w:r>
        <w:rPr>
          <w:rFonts w:ascii="Times New Roman" w:hAnsi="Times New Roman"/>
          <w:kern w:val="0"/>
          <w:szCs w:val="21"/>
        </w:rPr>
        <w:t>反应不存在明显品系或性别间差异亦可使用。实验动物及实验动物</w:t>
      </w:r>
      <w:r>
        <w:rPr>
          <w:rFonts w:hint="eastAsia" w:ascii="Times New Roman" w:hAnsi="Times New Roman"/>
          <w:kern w:val="0"/>
          <w:szCs w:val="21"/>
        </w:rPr>
        <w:t>设施、饲料、饮水</w:t>
      </w:r>
      <w:r>
        <w:rPr>
          <w:rFonts w:ascii="Times New Roman" w:hAnsi="Times New Roman"/>
          <w:kern w:val="0"/>
          <w:szCs w:val="21"/>
        </w:rPr>
        <w:t>应符合国家相应规定，</w:t>
      </w:r>
      <w:r>
        <w:rPr>
          <w:rFonts w:hint="eastAsia" w:ascii="Times New Roman" w:hAnsi="Times New Roman"/>
          <w:kern w:val="0"/>
          <w:szCs w:val="21"/>
        </w:rPr>
        <w:t>试验期间自由</w:t>
      </w:r>
      <w:r>
        <w:rPr>
          <w:rFonts w:ascii="Times New Roman" w:hAnsi="Times New Roman"/>
          <w:kern w:val="0"/>
          <w:szCs w:val="21"/>
        </w:rPr>
        <w:t>饮水。</w:t>
      </w:r>
    </w:p>
    <w:p>
      <w:pPr>
        <w:autoSpaceDE w:val="0"/>
        <w:autoSpaceDN w:val="0"/>
        <w:spacing w:before="156" w:beforeLines="50" w:after="156" w:afterLines="50" w:line="300" w:lineRule="auto"/>
        <w:rPr>
          <w:rFonts w:ascii="Times New Roman" w:hAnsi="Times New Roman"/>
          <w:kern w:val="0"/>
          <w:szCs w:val="21"/>
        </w:rPr>
      </w:pPr>
      <w:bookmarkStart w:id="0" w:name="_Hlk516735420"/>
      <w:r>
        <w:rPr>
          <w:rFonts w:ascii="Times New Roman" w:hAnsi="Times New Roman"/>
          <w:kern w:val="0"/>
          <w:szCs w:val="21"/>
        </w:rPr>
        <w:t xml:space="preserve">5.2 </w:t>
      </w:r>
      <w:r>
        <w:rPr>
          <w:rFonts w:hint="eastAsia" w:ascii="Times New Roman" w:hAnsi="Times New Roman"/>
          <w:kern w:val="0"/>
          <w:szCs w:val="21"/>
        </w:rPr>
        <w:t xml:space="preserve"> </w:t>
      </w:r>
      <w:r>
        <w:rPr>
          <w:rFonts w:ascii="Times New Roman" w:hAnsi="Times New Roman"/>
          <w:kern w:val="0"/>
          <w:szCs w:val="21"/>
        </w:rPr>
        <w:t>动物试验前准备</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试验前</w:t>
      </w:r>
      <w:r>
        <w:rPr>
          <w:rFonts w:hint="eastAsia" w:ascii="Times New Roman" w:hAnsi="Times New Roman"/>
          <w:kern w:val="0"/>
          <w:szCs w:val="21"/>
        </w:rPr>
        <w:t>小鼠</w:t>
      </w:r>
      <w:r>
        <w:rPr>
          <w:rFonts w:ascii="Times New Roman" w:hAnsi="Times New Roman"/>
          <w:kern w:val="0"/>
          <w:szCs w:val="21"/>
        </w:rPr>
        <w:t>应在实验动物</w:t>
      </w:r>
      <w:r>
        <w:rPr>
          <w:rFonts w:hint="eastAsia" w:ascii="Times New Roman" w:hAnsi="Times New Roman"/>
          <w:kern w:val="0"/>
          <w:szCs w:val="21"/>
        </w:rPr>
        <w:t>设施</w:t>
      </w:r>
      <w:r>
        <w:rPr>
          <w:rFonts w:ascii="Times New Roman" w:hAnsi="Times New Roman"/>
          <w:kern w:val="0"/>
          <w:szCs w:val="21"/>
        </w:rPr>
        <w:t>环境中至少适应5</w:t>
      </w:r>
      <w:r>
        <w:rPr>
          <w:rFonts w:hint="eastAsia" w:ascii="Times New Roman" w:hAnsi="Times New Roman"/>
          <w:kern w:val="0"/>
          <w:szCs w:val="21"/>
        </w:rPr>
        <w:t xml:space="preserve"> </w:t>
      </w:r>
      <w:r>
        <w:rPr>
          <w:rFonts w:ascii="Times New Roman" w:hAnsi="Times New Roman"/>
          <w:kern w:val="0"/>
          <w:szCs w:val="21"/>
        </w:rPr>
        <w:t>d。将</w:t>
      </w:r>
      <w:r>
        <w:rPr>
          <w:rFonts w:hint="eastAsia" w:ascii="Times New Roman" w:hAnsi="Times New Roman"/>
          <w:kern w:val="0"/>
          <w:szCs w:val="21"/>
        </w:rPr>
        <w:t>小鼠</w:t>
      </w:r>
      <w:r>
        <w:rPr>
          <w:rFonts w:ascii="Times New Roman" w:hAnsi="Times New Roman"/>
          <w:kern w:val="0"/>
          <w:szCs w:val="21"/>
        </w:rPr>
        <w:t>随机分组标记（不要做任何形式的耳朵标记），检查皮肤应无损伤。试验开始和结束时应记录</w:t>
      </w:r>
      <w:r>
        <w:rPr>
          <w:rFonts w:hint="eastAsia" w:ascii="Times New Roman" w:hAnsi="Times New Roman"/>
          <w:kern w:val="0"/>
          <w:szCs w:val="21"/>
        </w:rPr>
        <w:t>小鼠</w:t>
      </w:r>
      <w:r>
        <w:rPr>
          <w:rFonts w:ascii="Times New Roman" w:hAnsi="Times New Roman"/>
          <w:kern w:val="0"/>
          <w:szCs w:val="21"/>
        </w:rPr>
        <w:t>体重。</w:t>
      </w:r>
    </w:p>
    <w:p>
      <w:pPr>
        <w:autoSpaceDE w:val="0"/>
        <w:autoSpaceDN w:val="0"/>
        <w:spacing w:before="156" w:beforeLines="50" w:after="156" w:afterLines="50" w:line="300" w:lineRule="auto"/>
        <w:rPr>
          <w:rFonts w:ascii="Times New Roman" w:hAnsi="Times New Roman"/>
          <w:kern w:val="0"/>
          <w:szCs w:val="21"/>
        </w:rPr>
      </w:pPr>
      <w:r>
        <w:rPr>
          <w:rFonts w:ascii="Times New Roman" w:hAnsi="Times New Roman"/>
          <w:kern w:val="0"/>
          <w:szCs w:val="21"/>
        </w:rPr>
        <w:t>5.3</w:t>
      </w:r>
      <w:r>
        <w:rPr>
          <w:rFonts w:hint="eastAsia" w:ascii="Times New Roman" w:hAnsi="Times New Roman"/>
          <w:kern w:val="0"/>
          <w:szCs w:val="21"/>
        </w:rPr>
        <w:t xml:space="preserve">  </w:t>
      </w:r>
      <w:r>
        <w:rPr>
          <w:rFonts w:ascii="Times New Roman" w:hAnsi="Times New Roman"/>
          <w:kern w:val="0"/>
          <w:szCs w:val="21"/>
        </w:rPr>
        <w:t>可靠性检查</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每次试验均需设置阳性对照组，阳性</w:t>
      </w:r>
      <w:r>
        <w:rPr>
          <w:rFonts w:hint="eastAsia" w:ascii="Times New Roman" w:hAnsi="Times New Roman"/>
          <w:kern w:val="0"/>
          <w:szCs w:val="21"/>
        </w:rPr>
        <w:t>对照</w:t>
      </w:r>
      <w:r>
        <w:rPr>
          <w:rFonts w:ascii="Times New Roman" w:hAnsi="Times New Roman"/>
          <w:kern w:val="0"/>
          <w:szCs w:val="21"/>
        </w:rPr>
        <w:t>物</w:t>
      </w:r>
      <w:r>
        <w:rPr>
          <w:rFonts w:hint="eastAsia" w:ascii="Times New Roman" w:hAnsi="Times New Roman"/>
          <w:kern w:val="0"/>
          <w:szCs w:val="21"/>
        </w:rPr>
        <w:t>通常为弱至中度致敏物，</w:t>
      </w:r>
      <w:r>
        <w:rPr>
          <w:rFonts w:ascii="Times New Roman" w:hAnsi="Times New Roman"/>
          <w:kern w:val="0"/>
          <w:szCs w:val="21"/>
        </w:rPr>
        <w:t>一般采用25%己基肉桂醛（CAS</w:t>
      </w:r>
      <w:r>
        <w:rPr>
          <w:rFonts w:hint="eastAsia" w:ascii="Times New Roman" w:hAnsi="Times New Roman"/>
          <w:kern w:val="0"/>
          <w:szCs w:val="21"/>
        </w:rPr>
        <w:t>：</w:t>
      </w:r>
      <w:r>
        <w:rPr>
          <w:rFonts w:ascii="Times New Roman" w:hAnsi="Times New Roman"/>
          <w:kern w:val="0"/>
          <w:szCs w:val="21"/>
        </w:rPr>
        <w:t>101-86-0）或25%丁香酚（CAS</w:t>
      </w:r>
      <w:r>
        <w:rPr>
          <w:rFonts w:hint="eastAsia" w:ascii="Times New Roman" w:hAnsi="Times New Roman"/>
          <w:kern w:val="0"/>
          <w:szCs w:val="21"/>
        </w:rPr>
        <w:t>：</w:t>
      </w:r>
      <w:r>
        <w:rPr>
          <w:rFonts w:ascii="Times New Roman" w:hAnsi="Times New Roman"/>
          <w:kern w:val="0"/>
          <w:szCs w:val="21"/>
        </w:rPr>
        <w:t>97-53-0），溶剂为丙酮：橄榄油（4:1，v/v）。当阳性</w:t>
      </w:r>
      <w:r>
        <w:rPr>
          <w:rFonts w:hint="eastAsia" w:ascii="Times New Roman" w:hAnsi="Times New Roman"/>
          <w:kern w:val="0"/>
          <w:szCs w:val="21"/>
        </w:rPr>
        <w:t>对照</w:t>
      </w:r>
      <w:r>
        <w:rPr>
          <w:rFonts w:ascii="Times New Roman" w:hAnsi="Times New Roman"/>
          <w:kern w:val="0"/>
          <w:szCs w:val="21"/>
        </w:rPr>
        <w:t>物与受试物的溶剂不同时，需单独设置阳性</w:t>
      </w:r>
      <w:r>
        <w:rPr>
          <w:rFonts w:hint="eastAsia" w:ascii="Times New Roman" w:hAnsi="Times New Roman"/>
          <w:kern w:val="0"/>
          <w:szCs w:val="21"/>
        </w:rPr>
        <w:t>对照</w:t>
      </w:r>
      <w:r>
        <w:rPr>
          <w:rFonts w:ascii="Times New Roman" w:hAnsi="Times New Roman"/>
          <w:kern w:val="0"/>
          <w:szCs w:val="21"/>
        </w:rPr>
        <w:t>物的溶剂对照组。</w:t>
      </w:r>
    </w:p>
    <w:p>
      <w:pPr>
        <w:autoSpaceDE w:val="0"/>
        <w:autoSpaceDN w:val="0"/>
        <w:spacing w:before="156" w:beforeLines="50" w:after="156" w:afterLines="50" w:line="300" w:lineRule="auto"/>
        <w:jc w:val="left"/>
        <w:rPr>
          <w:rFonts w:ascii="Times New Roman" w:hAnsi="Times New Roman"/>
          <w:kern w:val="0"/>
          <w:szCs w:val="21"/>
        </w:rPr>
      </w:pPr>
      <w:r>
        <w:rPr>
          <w:rFonts w:ascii="Times New Roman" w:hAnsi="Times New Roman"/>
          <w:kern w:val="0"/>
          <w:szCs w:val="21"/>
        </w:rPr>
        <w:t xml:space="preserve">5.4 </w:t>
      </w:r>
      <w:r>
        <w:rPr>
          <w:rFonts w:hint="eastAsia" w:ascii="Times New Roman" w:hAnsi="Times New Roman"/>
          <w:kern w:val="0"/>
          <w:szCs w:val="21"/>
        </w:rPr>
        <w:t xml:space="preserve"> 观察指标</w:t>
      </w:r>
    </w:p>
    <w:p>
      <w:pPr>
        <w:autoSpaceDE w:val="0"/>
        <w:autoSpaceDN w:val="0"/>
        <w:spacing w:line="300" w:lineRule="auto"/>
        <w:ind w:firstLine="420" w:firstLineChars="200"/>
        <w:jc w:val="left"/>
        <w:rPr>
          <w:rFonts w:ascii="Times New Roman" w:hAnsi="Times New Roman"/>
          <w:kern w:val="0"/>
          <w:szCs w:val="21"/>
        </w:rPr>
      </w:pPr>
      <w:r>
        <w:rPr>
          <w:rFonts w:ascii="Times New Roman" w:hAnsi="Times New Roman"/>
          <w:kern w:val="0"/>
          <w:szCs w:val="21"/>
        </w:rPr>
        <w:t>试验期间每天观察</w:t>
      </w:r>
      <w:r>
        <w:rPr>
          <w:rFonts w:hint="eastAsia" w:ascii="Times New Roman" w:hAnsi="Times New Roman"/>
          <w:kern w:val="0"/>
          <w:szCs w:val="21"/>
        </w:rPr>
        <w:t>小鼠</w:t>
      </w:r>
      <w:r>
        <w:rPr>
          <w:rFonts w:ascii="Times New Roman" w:hAnsi="Times New Roman"/>
          <w:kern w:val="0"/>
          <w:szCs w:val="21"/>
        </w:rPr>
        <w:t>临床症状及耳朵局部刺激症状，并记录。</w:t>
      </w:r>
    </w:p>
    <w:p>
      <w:pPr>
        <w:spacing w:before="156" w:beforeLines="50" w:after="156" w:afterLines="50" w:line="300" w:lineRule="auto"/>
        <w:rPr>
          <w:rFonts w:ascii="Times New Roman" w:hAnsi="Times New Roman" w:eastAsia="黑体"/>
          <w:bCs/>
          <w:kern w:val="0"/>
          <w:szCs w:val="21"/>
        </w:rPr>
      </w:pPr>
      <w:r>
        <w:rPr>
          <w:rFonts w:ascii="Times New Roman" w:hAnsi="Times New Roman" w:eastAsia="黑体"/>
          <w:bCs/>
          <w:kern w:val="0"/>
          <w:szCs w:val="21"/>
        </w:rPr>
        <w:t xml:space="preserve">6 </w:t>
      </w:r>
      <w:r>
        <w:rPr>
          <w:rFonts w:hint="eastAsia" w:ascii="Times New Roman" w:hAnsi="Times New Roman" w:eastAsia="黑体"/>
          <w:bCs/>
          <w:kern w:val="0"/>
          <w:szCs w:val="21"/>
        </w:rPr>
        <w:t xml:space="preserve"> 仪器</w:t>
      </w:r>
    </w:p>
    <w:bookmarkEnd w:id="0"/>
    <w:p>
      <w:pPr>
        <w:spacing w:line="300" w:lineRule="auto"/>
        <w:ind w:firstLine="420" w:firstLineChars="200"/>
        <w:rPr>
          <w:rFonts w:ascii="Times New Roman" w:hAnsiTheme="minorEastAsia"/>
          <w:i/>
          <w:kern w:val="0"/>
          <w:szCs w:val="21"/>
        </w:rPr>
      </w:pPr>
      <w:r>
        <w:rPr>
          <w:rFonts w:hint="eastAsia" w:ascii="Times New Roman" w:hAnsi="Times New Roman"/>
          <w:kern w:val="0"/>
          <w:szCs w:val="21"/>
        </w:rPr>
        <w:t>流式细胞仪，配备前向散射光（Forward Scatter，FSC）、侧向散射光（Side Scatter，SSC）</w:t>
      </w:r>
      <w:r>
        <w:rPr>
          <w:rFonts w:ascii="Times New Roman" w:hAnsiTheme="minorEastAsia"/>
          <w:kern w:val="0"/>
          <w:szCs w:val="21"/>
        </w:rPr>
        <w:t>通道和适宜的荧光通道，可检测</w:t>
      </w:r>
      <w:r>
        <w:rPr>
          <w:rFonts w:hint="eastAsia" w:ascii="Times New Roman" w:hAnsi="Times New Roman"/>
          <w:kern w:val="0"/>
          <w:szCs w:val="21"/>
        </w:rPr>
        <w:t>异硫氰酸荧光素（</w:t>
      </w:r>
      <w:r>
        <w:rPr>
          <w:rFonts w:ascii="Times New Roman" w:hAnsi="Times New Roman"/>
          <w:kern w:val="0"/>
          <w:szCs w:val="21"/>
        </w:rPr>
        <w:t>Fluorescein Isothiocyanate</w:t>
      </w:r>
      <w:r>
        <w:rPr>
          <w:rFonts w:hint="eastAsia" w:ascii="Times New Roman" w:hAnsi="Times New Roman"/>
          <w:kern w:val="0"/>
          <w:szCs w:val="21"/>
        </w:rPr>
        <w:t>，FITC）</w:t>
      </w:r>
      <w:r>
        <w:rPr>
          <w:rFonts w:ascii="Times New Roman" w:hAnsi="Times New Roman"/>
          <w:kern w:val="0"/>
          <w:szCs w:val="21"/>
        </w:rPr>
        <w:t>-BrdU</w:t>
      </w:r>
      <w:r>
        <w:rPr>
          <w:rFonts w:ascii="Times New Roman" w:hAnsiTheme="minorEastAsia"/>
          <w:kern w:val="0"/>
          <w:szCs w:val="21"/>
        </w:rPr>
        <w:t>和</w:t>
      </w:r>
      <w:r>
        <w:rPr>
          <w:rFonts w:ascii="Times New Roman" w:hAnsi="Times New Roman"/>
          <w:szCs w:val="21"/>
          <w:shd w:val="clear" w:color="auto" w:fill="FFFFFF"/>
        </w:rPr>
        <w:t>7-</w:t>
      </w:r>
      <w:r>
        <w:rPr>
          <w:rFonts w:ascii="Times New Roman" w:hAnsiTheme="minorEastAsia"/>
          <w:szCs w:val="21"/>
          <w:shd w:val="clear" w:color="auto" w:fill="FFFFFF"/>
        </w:rPr>
        <w:t>氨基放线菌素</w:t>
      </w:r>
      <w:r>
        <w:rPr>
          <w:rFonts w:ascii="Times New Roman" w:hAnsi="Times New Roman"/>
          <w:szCs w:val="21"/>
          <w:shd w:val="clear" w:color="auto" w:fill="FFFFFF"/>
        </w:rPr>
        <w:t>D</w:t>
      </w:r>
      <w:r>
        <w:rPr>
          <w:rStyle w:val="8"/>
          <w:rFonts w:ascii="Times New Roman" w:hAnsiTheme="minorEastAsia"/>
          <w:i w:val="0"/>
          <w:szCs w:val="21"/>
          <w:shd w:val="clear" w:color="auto" w:fill="FFFFFF"/>
        </w:rPr>
        <w:t>（</w:t>
      </w:r>
      <w:r>
        <w:rPr>
          <w:rStyle w:val="8"/>
          <w:rFonts w:ascii="Times New Roman" w:hAnsi="Times New Roman"/>
          <w:i w:val="0"/>
          <w:szCs w:val="21"/>
          <w:shd w:val="clear" w:color="auto" w:fill="FFFFFF"/>
        </w:rPr>
        <w:t>7-Aminoactinomycin D</w:t>
      </w:r>
      <w:r>
        <w:rPr>
          <w:rFonts w:ascii="Times New Roman" w:hAnsiTheme="minorEastAsia"/>
          <w:kern w:val="0"/>
          <w:szCs w:val="21"/>
        </w:rPr>
        <w:t>，</w:t>
      </w:r>
      <w:r>
        <w:rPr>
          <w:rFonts w:ascii="Times New Roman" w:hAnsi="Times New Roman"/>
          <w:kern w:val="0"/>
          <w:szCs w:val="21"/>
        </w:rPr>
        <w:t>7-AAD</w:t>
      </w:r>
      <w:r>
        <w:rPr>
          <w:rFonts w:ascii="Times New Roman" w:hAnsiTheme="minorEastAsia"/>
          <w:kern w:val="0"/>
          <w:szCs w:val="21"/>
        </w:rPr>
        <w:t>）标</w:t>
      </w:r>
      <w:r>
        <w:rPr>
          <w:rFonts w:ascii="Times New Roman" w:hAnsiTheme="minorEastAsia"/>
          <w:iCs/>
          <w:kern w:val="0"/>
          <w:szCs w:val="21"/>
        </w:rPr>
        <w:t>记的细胞。</w:t>
      </w:r>
    </w:p>
    <w:p>
      <w:pPr>
        <w:spacing w:before="156" w:beforeLines="50" w:after="156" w:afterLines="50" w:line="300" w:lineRule="auto"/>
        <w:rPr>
          <w:rFonts w:ascii="Times New Roman" w:hAnsi="Times New Roman" w:eastAsia="黑体"/>
          <w:bCs/>
          <w:kern w:val="0"/>
          <w:szCs w:val="21"/>
        </w:rPr>
      </w:pPr>
      <w:r>
        <w:rPr>
          <w:rFonts w:hint="eastAsia" w:ascii="Times New Roman" w:hAnsi="Times New Roman" w:eastAsia="黑体"/>
          <w:bCs/>
          <w:kern w:val="0"/>
          <w:szCs w:val="21"/>
        </w:rPr>
        <w:t>7</w:t>
      </w:r>
      <w:r>
        <w:rPr>
          <w:rFonts w:ascii="Times New Roman" w:hAnsi="Times New Roman" w:eastAsia="黑体"/>
          <w:bCs/>
          <w:kern w:val="0"/>
          <w:szCs w:val="21"/>
        </w:rPr>
        <w:t xml:space="preserve"> </w:t>
      </w:r>
      <w:r>
        <w:rPr>
          <w:rFonts w:hint="eastAsia" w:ascii="Times New Roman" w:hAnsi="Times New Roman" w:eastAsia="黑体"/>
          <w:bCs/>
          <w:kern w:val="0"/>
          <w:szCs w:val="21"/>
        </w:rPr>
        <w:t xml:space="preserve"> </w:t>
      </w:r>
      <w:r>
        <w:rPr>
          <w:rFonts w:ascii="Times New Roman" w:hAnsi="Times New Roman" w:eastAsia="黑体"/>
          <w:bCs/>
          <w:kern w:val="0"/>
          <w:szCs w:val="21"/>
        </w:rPr>
        <w:t>试验方法</w:t>
      </w:r>
    </w:p>
    <w:p>
      <w:pPr>
        <w:autoSpaceDE w:val="0"/>
        <w:autoSpaceDN w:val="0"/>
        <w:spacing w:before="156" w:beforeLines="50" w:after="156" w:afterLines="50" w:line="300" w:lineRule="auto"/>
        <w:rPr>
          <w:rFonts w:ascii="Times New Roman" w:hAnsi="Times New Roman"/>
          <w:kern w:val="0"/>
          <w:szCs w:val="21"/>
          <w:highlight w:val="yellow"/>
        </w:rPr>
      </w:pPr>
      <w:r>
        <w:rPr>
          <w:rFonts w:hint="eastAsia" w:ascii="Times New Roman" w:hAnsi="Times New Roman"/>
          <w:kern w:val="0"/>
          <w:szCs w:val="21"/>
        </w:rPr>
        <w:t>7</w:t>
      </w:r>
      <w:r>
        <w:rPr>
          <w:rFonts w:ascii="Times New Roman" w:hAnsi="Times New Roman"/>
          <w:kern w:val="0"/>
          <w:szCs w:val="21"/>
        </w:rPr>
        <w:t xml:space="preserve">.1 </w:t>
      </w:r>
      <w:r>
        <w:rPr>
          <w:rFonts w:hint="eastAsia" w:ascii="Times New Roman" w:hAnsi="Times New Roman"/>
          <w:kern w:val="0"/>
          <w:szCs w:val="21"/>
        </w:rPr>
        <w:t xml:space="preserve"> </w:t>
      </w:r>
      <w:r>
        <w:rPr>
          <w:rFonts w:ascii="Times New Roman" w:hAnsi="Times New Roman"/>
          <w:kern w:val="0"/>
          <w:szCs w:val="21"/>
        </w:rPr>
        <w:t>分组</w:t>
      </w:r>
    </w:p>
    <w:p>
      <w:pPr>
        <w:autoSpaceDE w:val="0"/>
        <w:autoSpaceDN w:val="0"/>
        <w:spacing w:line="300" w:lineRule="auto"/>
        <w:ind w:firstLine="420" w:firstLineChars="200"/>
        <w:rPr>
          <w:rFonts w:ascii="Times New Roman" w:hAnsi="Times New Roman"/>
          <w:kern w:val="0"/>
          <w:szCs w:val="21"/>
        </w:rPr>
      </w:pPr>
      <w:r>
        <w:rPr>
          <w:rFonts w:hint="eastAsia" w:ascii="Times New Roman" w:hAnsi="Times New Roman"/>
          <w:kern w:val="0"/>
          <w:szCs w:val="21"/>
        </w:rPr>
        <w:t>小鼠</w:t>
      </w:r>
      <w:r>
        <w:rPr>
          <w:rFonts w:ascii="Times New Roman" w:hAnsi="Times New Roman"/>
          <w:kern w:val="0"/>
          <w:szCs w:val="21"/>
        </w:rPr>
        <w:t>随机分为阴性（溶剂）对照组、阳性对照组和受试物组（至少3个浓度），每组至少4只</w:t>
      </w:r>
      <w:r>
        <w:rPr>
          <w:rFonts w:hint="eastAsia" w:ascii="Times New Roman" w:hAnsi="Times New Roman"/>
          <w:kern w:val="0"/>
          <w:szCs w:val="21"/>
        </w:rPr>
        <w:t>小鼠</w:t>
      </w:r>
      <w:r>
        <w:rPr>
          <w:rFonts w:ascii="Times New Roman" w:hAnsi="Times New Roman"/>
          <w:kern w:val="0"/>
          <w:szCs w:val="21"/>
        </w:rPr>
        <w:t>。另</w:t>
      </w:r>
      <w:r>
        <w:rPr>
          <w:rFonts w:hint="eastAsia" w:ascii="Times New Roman" w:hAnsi="Times New Roman"/>
          <w:kern w:val="0"/>
          <w:szCs w:val="21"/>
        </w:rPr>
        <w:t>取2只小鼠，分别为</w:t>
      </w:r>
      <w:bookmarkStart w:id="1" w:name="OLE_LINK1"/>
      <w:r>
        <w:rPr>
          <w:rFonts w:ascii="Times New Roman" w:hAnsi="Times New Roman"/>
          <w:kern w:val="0"/>
          <w:szCs w:val="21"/>
        </w:rPr>
        <w:t>空白对照</w:t>
      </w:r>
      <w:r>
        <w:rPr>
          <w:rFonts w:hint="eastAsia" w:ascii="Times New Roman" w:hAnsi="Times New Roman"/>
          <w:kern w:val="0"/>
          <w:szCs w:val="21"/>
        </w:rPr>
        <w:t>小鼠和未处理</w:t>
      </w:r>
      <w:r>
        <w:rPr>
          <w:rFonts w:ascii="Times New Roman" w:hAnsi="Times New Roman"/>
          <w:kern w:val="0"/>
          <w:szCs w:val="21"/>
        </w:rPr>
        <w:t>对照</w:t>
      </w:r>
      <w:bookmarkEnd w:id="1"/>
      <w:r>
        <w:rPr>
          <w:rFonts w:hint="eastAsia" w:ascii="Times New Roman" w:hAnsi="Times New Roman"/>
          <w:kern w:val="0"/>
          <w:szCs w:val="21"/>
        </w:rPr>
        <w:t>小鼠：空白对照小鼠</w:t>
      </w:r>
      <w:r>
        <w:rPr>
          <w:rFonts w:ascii="Times New Roman" w:hAnsi="Times New Roman"/>
          <w:kern w:val="0"/>
          <w:szCs w:val="21"/>
        </w:rPr>
        <w:t>不做任何处理</w:t>
      </w:r>
      <w:r>
        <w:rPr>
          <w:rFonts w:hint="eastAsia" w:ascii="Times New Roman" w:hAnsi="Times New Roman"/>
          <w:kern w:val="0"/>
          <w:szCs w:val="21"/>
        </w:rPr>
        <w:t>，样本用于流式细胞仪检测时参数设定；未处理对照小鼠腹腔注射BrdU标记液，样本用于流式细胞仪检测时背景值的控制。</w:t>
      </w:r>
    </w:p>
    <w:p>
      <w:pPr>
        <w:autoSpaceDE w:val="0"/>
        <w:autoSpaceDN w:val="0"/>
        <w:spacing w:before="156" w:beforeLines="50" w:after="156" w:afterLines="50" w:line="300" w:lineRule="auto"/>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 xml:space="preserve">.2 </w:t>
      </w:r>
      <w:r>
        <w:rPr>
          <w:rFonts w:hint="eastAsia" w:ascii="Times New Roman" w:hAnsi="Times New Roman"/>
          <w:kern w:val="0"/>
          <w:szCs w:val="21"/>
        </w:rPr>
        <w:t xml:space="preserve"> </w:t>
      </w:r>
      <w:r>
        <w:rPr>
          <w:rFonts w:ascii="Times New Roman" w:hAnsi="Times New Roman"/>
          <w:kern w:val="0"/>
          <w:szCs w:val="21"/>
        </w:rPr>
        <w:t>受试物配制</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固体受试物应溶于或悬浮于适当溶剂中并稀释，液体受试物可以直接</w:t>
      </w:r>
      <w:r>
        <w:rPr>
          <w:rFonts w:hint="eastAsia" w:ascii="Times New Roman" w:hAnsi="Times New Roman"/>
          <w:kern w:val="0"/>
          <w:szCs w:val="21"/>
        </w:rPr>
        <w:t>使用</w:t>
      </w:r>
      <w:r>
        <w:rPr>
          <w:rFonts w:ascii="Times New Roman" w:hAnsi="Times New Roman"/>
          <w:kern w:val="0"/>
          <w:szCs w:val="21"/>
        </w:rPr>
        <w:t>或</w:t>
      </w:r>
      <w:r>
        <w:rPr>
          <w:rFonts w:hint="eastAsia" w:ascii="Times New Roman" w:hAnsi="Times New Roman"/>
          <w:kern w:val="0"/>
          <w:szCs w:val="21"/>
        </w:rPr>
        <w:t>稀释后使用</w:t>
      </w:r>
      <w:r>
        <w:rPr>
          <w:rFonts w:ascii="Times New Roman" w:hAnsi="Times New Roman"/>
          <w:kern w:val="0"/>
          <w:szCs w:val="21"/>
        </w:rPr>
        <w:t>。受试物应现用现配。</w:t>
      </w:r>
    </w:p>
    <w:p>
      <w:pPr>
        <w:autoSpaceDE w:val="0"/>
        <w:autoSpaceDN w:val="0"/>
        <w:spacing w:before="156" w:beforeLines="50" w:after="156" w:afterLines="50" w:line="300" w:lineRule="auto"/>
        <w:rPr>
          <w:rFonts w:ascii="Times New Roman" w:hAnsi="Times New Roman"/>
          <w:kern w:val="0"/>
          <w:szCs w:val="21"/>
        </w:rPr>
      </w:pPr>
      <w:bookmarkStart w:id="2" w:name="_Hlk516561497"/>
      <w:r>
        <w:rPr>
          <w:rFonts w:hint="eastAsia" w:ascii="Times New Roman" w:hAnsi="Times New Roman"/>
          <w:kern w:val="0"/>
          <w:szCs w:val="21"/>
        </w:rPr>
        <w:t>7</w:t>
      </w:r>
      <w:r>
        <w:rPr>
          <w:rFonts w:ascii="Times New Roman" w:hAnsi="Times New Roman"/>
          <w:kern w:val="0"/>
          <w:szCs w:val="21"/>
        </w:rPr>
        <w:t xml:space="preserve">.3 </w:t>
      </w:r>
      <w:r>
        <w:rPr>
          <w:rFonts w:hint="eastAsia" w:ascii="Times New Roman" w:hAnsi="Times New Roman"/>
          <w:kern w:val="0"/>
          <w:szCs w:val="21"/>
        </w:rPr>
        <w:t xml:space="preserve"> </w:t>
      </w:r>
      <w:r>
        <w:rPr>
          <w:rFonts w:ascii="Times New Roman" w:hAnsi="Times New Roman"/>
          <w:kern w:val="0"/>
          <w:szCs w:val="21"/>
        </w:rPr>
        <w:t>溶剂的选择</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常用溶剂为丙酮：橄榄油（4:1，v/v）、N,N-二甲基甲酰胺（DMF）、甲乙酮（MEK）、丙烯乙二醇</w:t>
      </w:r>
      <w:r>
        <w:rPr>
          <w:rFonts w:hint="eastAsia" w:ascii="Times New Roman" w:hAnsi="Times New Roman"/>
          <w:kern w:val="0"/>
          <w:szCs w:val="21"/>
        </w:rPr>
        <w:t>（PG）</w:t>
      </w:r>
      <w:r>
        <w:rPr>
          <w:rFonts w:ascii="Times New Roman" w:hAnsi="Times New Roman"/>
          <w:kern w:val="0"/>
          <w:szCs w:val="21"/>
        </w:rPr>
        <w:t>、二甲基亚砜（DMSO）等。</w:t>
      </w:r>
    </w:p>
    <w:p>
      <w:pPr>
        <w:autoSpaceDE w:val="0"/>
        <w:autoSpaceDN w:val="0"/>
        <w:spacing w:before="156" w:beforeLines="50" w:after="156" w:afterLines="50" w:line="300" w:lineRule="auto"/>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 xml:space="preserve">.4 </w:t>
      </w:r>
      <w:r>
        <w:rPr>
          <w:rFonts w:hint="eastAsia" w:ascii="Times New Roman" w:hAnsi="Times New Roman"/>
          <w:kern w:val="0"/>
          <w:szCs w:val="21"/>
        </w:rPr>
        <w:t xml:space="preserve"> </w:t>
      </w:r>
      <w:r>
        <w:rPr>
          <w:rFonts w:ascii="Times New Roman" w:hAnsi="Times New Roman"/>
          <w:kern w:val="0"/>
          <w:szCs w:val="21"/>
        </w:rPr>
        <w:t>剂量</w:t>
      </w:r>
      <w:r>
        <w:rPr>
          <w:rFonts w:hint="eastAsia" w:ascii="Times New Roman" w:hAnsi="Times New Roman"/>
          <w:kern w:val="0"/>
          <w:szCs w:val="21"/>
        </w:rPr>
        <w:t>设计</w:t>
      </w:r>
    </w:p>
    <w:p>
      <w:pPr>
        <w:autoSpaceDE w:val="0"/>
        <w:autoSpaceDN w:val="0"/>
        <w:spacing w:line="300" w:lineRule="auto"/>
        <w:ind w:firstLine="420" w:firstLineChars="200"/>
      </w:pPr>
      <w:r>
        <w:t>通常从适当的</w:t>
      </w:r>
      <w:r>
        <w:rPr>
          <w:rFonts w:hint="eastAsia" w:ascii="宋体" w:hAnsi="宋体" w:cs="宋体"/>
        </w:rPr>
        <w:t>系列</w:t>
      </w:r>
      <w:r>
        <w:t>浓度（</w:t>
      </w:r>
      <w:r>
        <w:rPr>
          <w:rFonts w:hint="eastAsia" w:ascii="Times New Roman" w:hAnsi="Times New Roman"/>
        </w:rPr>
        <w:t>如100%、50%、25%、10%、5%、2.5%、1%、0.5%等</w:t>
      </w:r>
      <w:r>
        <w:t>）中选择三个连续剂量</w:t>
      </w:r>
      <w:r>
        <w:rPr>
          <w:rFonts w:hint="eastAsia" w:ascii="宋体" w:hAnsi="宋体" w:cs="宋体"/>
        </w:rPr>
        <w:t>。</w:t>
      </w:r>
      <w:r>
        <w:rPr>
          <w:rFonts w:hint="eastAsia" w:eastAsiaTheme="minorEastAsia"/>
        </w:rPr>
        <w:t>选择浓度时</w:t>
      </w:r>
      <w:r>
        <w:t>应考虑</w:t>
      </w:r>
      <w:r>
        <w:rPr>
          <w:rFonts w:hint="eastAsia" w:ascii="宋体" w:hAnsi="宋体" w:cs="宋体"/>
        </w:rPr>
        <w:t>已有</w:t>
      </w:r>
      <w:r>
        <w:t>毒理学信息（例如急性毒性和皮肤刺激）以及</w:t>
      </w:r>
      <w:r>
        <w:rPr>
          <w:rFonts w:hint="eastAsia" w:ascii="宋体" w:hAnsi="宋体" w:cs="宋体"/>
        </w:rPr>
        <w:t>受试物的</w:t>
      </w:r>
      <w:r>
        <w:t>结构和理化信息（如可用），</w:t>
      </w:r>
      <w:r>
        <w:rPr>
          <w:rFonts w:hint="eastAsia" w:ascii="宋体" w:hAnsi="宋体" w:cs="宋体"/>
        </w:rPr>
        <w:t>使</w:t>
      </w:r>
      <w:r>
        <w:t>最高浓度</w:t>
      </w:r>
      <w:r>
        <w:rPr>
          <w:rFonts w:hint="eastAsia" w:ascii="宋体" w:hAnsi="宋体" w:cs="宋体"/>
        </w:rPr>
        <w:t>达到</w:t>
      </w:r>
      <w:r>
        <w:t>最大化暴露，同时避免全身毒性和/或</w:t>
      </w:r>
      <w:r>
        <w:rPr>
          <w:rFonts w:hint="eastAsia"/>
        </w:rPr>
        <w:t>明显</w:t>
      </w:r>
      <w:r>
        <w:t>皮肤刺激</w:t>
      </w:r>
      <w:r>
        <w:rPr>
          <w:rFonts w:hint="eastAsia"/>
        </w:rPr>
        <w:t>性</w:t>
      </w:r>
      <w:r>
        <w:rPr>
          <w:rFonts w:hint="eastAsia" w:ascii="宋体" w:hAnsi="宋体" w:cs="宋体"/>
        </w:rPr>
        <w:t>。</w:t>
      </w:r>
    </w:p>
    <w:p>
      <w:pPr>
        <w:autoSpaceDE w:val="0"/>
        <w:autoSpaceDN w:val="0"/>
        <w:spacing w:line="300" w:lineRule="auto"/>
        <w:ind w:firstLine="420" w:firstLineChars="200"/>
      </w:pPr>
      <w:r>
        <w:t>在缺</w:t>
      </w:r>
      <w:r>
        <w:rPr>
          <w:rFonts w:hint="eastAsia" w:ascii="宋体" w:hAnsi="宋体" w:cs="宋体"/>
        </w:rPr>
        <w:t>少最高剂量设计依据时，</w:t>
      </w:r>
      <w:r>
        <w:t>应进行预试验</w:t>
      </w:r>
      <w:r>
        <w:rPr>
          <w:rFonts w:ascii="Times New Roman" w:hAnsi="Times New Roman"/>
          <w:kern w:val="0"/>
          <w:szCs w:val="21"/>
        </w:rPr>
        <w:t>（每组1</w:t>
      </w:r>
      <w:r>
        <w:rPr>
          <w:rFonts w:hint="eastAsia" w:ascii="Times New Roman" w:hAnsi="Times New Roman"/>
          <w:kern w:val="0"/>
          <w:szCs w:val="21"/>
        </w:rPr>
        <w:t xml:space="preserve"> </w:t>
      </w:r>
      <w:r>
        <w:rPr>
          <w:rFonts w:ascii="Times New Roman" w:hAnsi="Times New Roman"/>
          <w:kern w:val="0"/>
          <w:szCs w:val="21"/>
        </w:rPr>
        <w:t>～</w:t>
      </w:r>
      <w:r>
        <w:rPr>
          <w:rFonts w:hint="eastAsia" w:ascii="Times New Roman" w:hAnsi="Times New Roman"/>
          <w:kern w:val="0"/>
          <w:szCs w:val="21"/>
        </w:rPr>
        <w:t xml:space="preserve"> </w:t>
      </w:r>
      <w:r>
        <w:rPr>
          <w:rFonts w:ascii="Times New Roman" w:hAnsi="Times New Roman"/>
          <w:kern w:val="0"/>
          <w:szCs w:val="21"/>
        </w:rPr>
        <w:t>2只</w:t>
      </w:r>
      <w:r>
        <w:rPr>
          <w:rFonts w:hint="eastAsia" w:ascii="Times New Roman" w:hAnsi="Times New Roman"/>
          <w:kern w:val="0"/>
          <w:szCs w:val="21"/>
        </w:rPr>
        <w:t>小鼠</w:t>
      </w:r>
      <w:r>
        <w:rPr>
          <w:rFonts w:ascii="Times New Roman" w:hAnsi="Times New Roman"/>
          <w:kern w:val="0"/>
          <w:szCs w:val="21"/>
        </w:rPr>
        <w:t>）</w:t>
      </w:r>
      <w:r>
        <w:rPr>
          <w:rFonts w:hint="eastAsia" w:ascii="宋体" w:hAnsi="宋体" w:cs="宋体"/>
        </w:rPr>
        <w:t>为受试物</w:t>
      </w:r>
      <w:r>
        <w:rPr>
          <w:rFonts w:hint="eastAsia" w:eastAsiaTheme="minorEastAsia"/>
        </w:rPr>
        <w:t>剂量选择提供试验依据。液体受试物最高剂量可以采用原液，</w:t>
      </w:r>
      <w:r>
        <w:t>固体或悬浮液</w:t>
      </w:r>
      <w:r>
        <w:rPr>
          <w:rFonts w:hint="eastAsia" w:ascii="宋体" w:hAnsi="宋体" w:cs="宋体"/>
        </w:rPr>
        <w:t>可采用</w:t>
      </w:r>
      <w:r>
        <w:t>最大可</w:t>
      </w:r>
      <w:r>
        <w:rPr>
          <w:rFonts w:hint="eastAsia" w:eastAsiaTheme="minorEastAsia"/>
        </w:rPr>
        <w:t>使用</w:t>
      </w:r>
      <w:r>
        <w:t>浓度。</w:t>
      </w:r>
    </w:p>
    <w:bookmarkEnd w:id="2"/>
    <w:p>
      <w:pPr>
        <w:autoSpaceDE w:val="0"/>
        <w:autoSpaceDN w:val="0"/>
        <w:spacing w:before="156" w:beforeLines="50" w:after="156" w:afterLines="50" w:line="300" w:lineRule="auto"/>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.5</w:t>
      </w:r>
      <w:r>
        <w:rPr>
          <w:rFonts w:hint="eastAsia" w:ascii="Times New Roman" w:hAnsi="Times New Roman"/>
          <w:kern w:val="0"/>
          <w:szCs w:val="21"/>
        </w:rPr>
        <w:t xml:space="preserve">  </w:t>
      </w:r>
      <w:r>
        <w:rPr>
          <w:rFonts w:ascii="Times New Roman" w:hAnsi="Times New Roman"/>
          <w:kern w:val="0"/>
          <w:szCs w:val="21"/>
        </w:rPr>
        <w:t>试验步骤</w:t>
      </w:r>
    </w:p>
    <w:p>
      <w:pPr>
        <w:autoSpaceDE w:val="0"/>
        <w:autoSpaceDN w:val="0"/>
        <w:spacing w:line="300" w:lineRule="auto"/>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.5.1</w:t>
      </w:r>
      <w:r>
        <w:rPr>
          <w:rFonts w:hint="eastAsia" w:ascii="Times New Roman" w:hAnsi="Times New Roman"/>
          <w:kern w:val="0"/>
          <w:szCs w:val="21"/>
        </w:rPr>
        <w:t xml:space="preserve"> </w:t>
      </w:r>
      <w:r>
        <w:rPr>
          <w:rFonts w:ascii="Times New Roman" w:hAnsi="Times New Roman"/>
          <w:kern w:val="0"/>
          <w:szCs w:val="21"/>
        </w:rPr>
        <w:t>第1</w:t>
      </w:r>
      <w:r>
        <w:rPr>
          <w:rFonts w:hint="eastAsia" w:ascii="Times New Roman" w:hAnsi="Times New Roman"/>
          <w:kern w:val="0"/>
          <w:szCs w:val="21"/>
        </w:rPr>
        <w:t xml:space="preserve"> d</w:t>
      </w:r>
    </w:p>
    <w:p>
      <w:pPr>
        <w:autoSpaceDE w:val="0"/>
        <w:autoSpaceDN w:val="0"/>
        <w:spacing w:line="300" w:lineRule="auto"/>
        <w:ind w:firstLine="420" w:firstLineChars="200"/>
        <w:rPr>
          <w:rFonts w:ascii="Times New Roman" w:hAnsi="Times New Roman"/>
          <w:kern w:val="0"/>
          <w:szCs w:val="21"/>
        </w:rPr>
      </w:pPr>
      <w:r>
        <w:rPr>
          <w:rFonts w:hint="eastAsia" w:ascii="Times New Roman" w:hAnsi="Times New Roman"/>
          <w:kern w:val="0"/>
          <w:szCs w:val="21"/>
        </w:rPr>
        <w:t>小鼠</w:t>
      </w:r>
      <w:r>
        <w:rPr>
          <w:rFonts w:ascii="Times New Roman" w:hAnsi="Times New Roman"/>
          <w:kern w:val="0"/>
          <w:szCs w:val="21"/>
        </w:rPr>
        <w:t>随机分组并标记、称重、记录临床症状。将受试物或对照均匀涂抹到小鼠双侧耳朵背部皮肤，25</w:t>
      </w:r>
      <w:r>
        <w:rPr>
          <w:rFonts w:hint="eastAsia" w:ascii="Times New Roman" w:hAnsi="Times New Roman"/>
          <w:kern w:val="0"/>
          <w:szCs w:val="21"/>
        </w:rPr>
        <w:t xml:space="preserve"> </w:t>
      </w:r>
      <w:r>
        <w:rPr>
          <w:rFonts w:ascii="Times New Roman" w:hAnsi="Times New Roman"/>
          <w:kern w:val="0"/>
          <w:szCs w:val="21"/>
        </w:rPr>
        <w:t>μL/耳。空白对照</w:t>
      </w:r>
      <w:r>
        <w:rPr>
          <w:rFonts w:hint="eastAsia" w:ascii="Times New Roman" w:hAnsi="Times New Roman"/>
          <w:kern w:val="0"/>
          <w:szCs w:val="21"/>
        </w:rPr>
        <w:t>和未处理</w:t>
      </w:r>
      <w:r>
        <w:rPr>
          <w:rFonts w:ascii="Times New Roman" w:hAnsi="Times New Roman"/>
          <w:kern w:val="0"/>
          <w:szCs w:val="21"/>
        </w:rPr>
        <w:t>对照</w:t>
      </w:r>
      <w:r>
        <w:rPr>
          <w:rFonts w:hint="eastAsia" w:ascii="Times New Roman" w:hAnsi="Times New Roman"/>
          <w:kern w:val="0"/>
          <w:szCs w:val="21"/>
        </w:rPr>
        <w:t>的</w:t>
      </w:r>
      <w:r>
        <w:rPr>
          <w:rFonts w:ascii="Times New Roman" w:hAnsi="Times New Roman"/>
          <w:kern w:val="0"/>
          <w:szCs w:val="21"/>
        </w:rPr>
        <w:t>小鼠不涂抹。</w:t>
      </w:r>
    </w:p>
    <w:p>
      <w:pPr>
        <w:autoSpaceDE w:val="0"/>
        <w:autoSpaceDN w:val="0"/>
        <w:spacing w:line="300" w:lineRule="auto"/>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.5.2 第2</w:t>
      </w:r>
      <w:r>
        <w:rPr>
          <w:rFonts w:hint="eastAsia" w:ascii="Times New Roman" w:hAnsi="Times New Roman"/>
          <w:kern w:val="0"/>
          <w:szCs w:val="21"/>
        </w:rPr>
        <w:t xml:space="preserve"> d</w:t>
      </w:r>
      <w:r>
        <w:rPr>
          <w:rFonts w:ascii="Times New Roman" w:hAnsi="Times New Roman"/>
          <w:kern w:val="0"/>
          <w:szCs w:val="21"/>
        </w:rPr>
        <w:t>、第3</w:t>
      </w:r>
      <w:r>
        <w:rPr>
          <w:rFonts w:hint="eastAsia" w:ascii="Times New Roman" w:hAnsi="Times New Roman"/>
          <w:kern w:val="0"/>
          <w:szCs w:val="21"/>
        </w:rPr>
        <w:t xml:space="preserve"> d</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重复受试物或对照</w:t>
      </w:r>
      <w:r>
        <w:rPr>
          <w:rFonts w:hint="eastAsia" w:ascii="Times New Roman" w:hAnsi="Times New Roman"/>
          <w:kern w:val="0"/>
          <w:szCs w:val="21"/>
        </w:rPr>
        <w:t>物</w:t>
      </w:r>
      <w:r>
        <w:rPr>
          <w:rFonts w:ascii="Times New Roman" w:hAnsi="Times New Roman"/>
          <w:kern w:val="0"/>
          <w:szCs w:val="21"/>
        </w:rPr>
        <w:t>涂抹</w:t>
      </w:r>
      <w:r>
        <w:rPr>
          <w:rFonts w:hint="eastAsia" w:ascii="Times New Roman" w:hAnsi="Times New Roman"/>
          <w:kern w:val="0"/>
          <w:szCs w:val="21"/>
        </w:rPr>
        <w:t>，</w:t>
      </w:r>
      <w:r>
        <w:rPr>
          <w:rFonts w:ascii="Times New Roman" w:hAnsi="Times New Roman"/>
          <w:kern w:val="0"/>
          <w:szCs w:val="21"/>
        </w:rPr>
        <w:t>操作同第1</w:t>
      </w:r>
      <w:r>
        <w:rPr>
          <w:rFonts w:hint="eastAsia" w:ascii="Times New Roman" w:hAnsi="Times New Roman"/>
          <w:kern w:val="0"/>
          <w:szCs w:val="21"/>
        </w:rPr>
        <w:t xml:space="preserve"> d</w:t>
      </w:r>
      <w:r>
        <w:rPr>
          <w:rFonts w:ascii="Times New Roman" w:hAnsi="Times New Roman"/>
          <w:kern w:val="0"/>
          <w:szCs w:val="21"/>
        </w:rPr>
        <w:t>。</w:t>
      </w:r>
    </w:p>
    <w:p>
      <w:pPr>
        <w:autoSpaceDE w:val="0"/>
        <w:autoSpaceDN w:val="0"/>
        <w:spacing w:line="300" w:lineRule="auto"/>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.5.3 第4</w:t>
      </w:r>
      <w:r>
        <w:rPr>
          <w:rFonts w:hint="eastAsia" w:ascii="Times New Roman" w:hAnsi="Times New Roman"/>
          <w:kern w:val="0"/>
          <w:szCs w:val="21"/>
        </w:rPr>
        <w:t xml:space="preserve"> d</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不做任何处理。</w:t>
      </w:r>
    </w:p>
    <w:p>
      <w:pPr>
        <w:autoSpaceDE w:val="0"/>
        <w:autoSpaceDN w:val="0"/>
        <w:spacing w:line="300" w:lineRule="auto"/>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.5.4 第5</w:t>
      </w:r>
      <w:r>
        <w:rPr>
          <w:rFonts w:hint="eastAsia" w:ascii="Times New Roman" w:hAnsi="Times New Roman"/>
          <w:kern w:val="0"/>
          <w:szCs w:val="21"/>
        </w:rPr>
        <w:t xml:space="preserve"> d</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受试物组、阳性对照组和溶剂对照组每只小鼠腹腔注射0.1</w:t>
      </w:r>
      <w:bookmarkStart w:id="3" w:name="OLE_LINK2"/>
      <w:r>
        <w:rPr>
          <w:rFonts w:hint="eastAsia" w:ascii="Times New Roman" w:hAnsi="Times New Roman"/>
          <w:kern w:val="0"/>
          <w:szCs w:val="21"/>
        </w:rPr>
        <w:t xml:space="preserve"> mL</w:t>
      </w:r>
      <w:r>
        <w:rPr>
          <w:rFonts w:ascii="Times New Roman" w:hAnsi="Times New Roman"/>
          <w:kern w:val="0"/>
          <w:szCs w:val="21"/>
        </w:rPr>
        <w:t xml:space="preserve"> BrdU标记液</w:t>
      </w:r>
      <w:bookmarkEnd w:id="3"/>
      <w:r>
        <w:rPr>
          <w:rFonts w:ascii="Times New Roman" w:hAnsi="Times New Roman"/>
          <w:kern w:val="0"/>
          <w:szCs w:val="21"/>
        </w:rPr>
        <w:t>（20</w:t>
      </w:r>
      <w:r>
        <w:rPr>
          <w:rFonts w:hint="eastAsia" w:ascii="Times New Roman" w:hAnsi="Times New Roman"/>
          <w:kern w:val="0"/>
          <w:szCs w:val="21"/>
        </w:rPr>
        <w:t xml:space="preserve"> </w:t>
      </w:r>
      <w:r>
        <w:rPr>
          <w:rFonts w:ascii="Times New Roman" w:hAnsi="Times New Roman"/>
          <w:kern w:val="0"/>
          <w:szCs w:val="21"/>
        </w:rPr>
        <w:t>mg/</w:t>
      </w:r>
      <w:r>
        <w:rPr>
          <w:rFonts w:hint="eastAsia" w:ascii="Times New Roman" w:hAnsi="Times New Roman"/>
          <w:kern w:val="0"/>
          <w:szCs w:val="21"/>
        </w:rPr>
        <w:t>mL</w:t>
      </w:r>
      <w:r>
        <w:rPr>
          <w:rFonts w:ascii="Times New Roman" w:hAnsi="Times New Roman"/>
          <w:kern w:val="0"/>
          <w:szCs w:val="21"/>
        </w:rPr>
        <w:t>，无菌生理盐水配制，现用现配或提前配好置于-20</w:t>
      </w:r>
      <w:r>
        <w:rPr>
          <w:rFonts w:hint="eastAsia" w:ascii="Times New Roman" w:hAnsi="Times New Roman"/>
          <w:kern w:val="0"/>
          <w:szCs w:val="21"/>
        </w:rPr>
        <w:t xml:space="preserve"> </w:t>
      </w:r>
      <w:r>
        <w:rPr>
          <w:rFonts w:ascii="Times New Roman" w:hAnsi="Times New Roman"/>
          <w:kern w:val="0"/>
          <w:szCs w:val="21"/>
        </w:rPr>
        <w:t>℃，避光保存）。</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空白对照小鼠不做任何处理，</w:t>
      </w:r>
      <w:bookmarkStart w:id="4" w:name="OLE_LINK3"/>
      <w:r>
        <w:rPr>
          <w:rFonts w:hint="eastAsia" w:ascii="Times New Roman" w:hAnsi="Times New Roman"/>
          <w:kern w:val="0"/>
          <w:szCs w:val="21"/>
        </w:rPr>
        <w:t>未处理</w:t>
      </w:r>
      <w:r>
        <w:rPr>
          <w:rFonts w:ascii="Times New Roman" w:hAnsi="Times New Roman"/>
          <w:kern w:val="0"/>
          <w:szCs w:val="21"/>
        </w:rPr>
        <w:t>对照小鼠腹腔注射0.1</w:t>
      </w:r>
      <w:r>
        <w:rPr>
          <w:rFonts w:hint="eastAsia" w:ascii="Times New Roman" w:hAnsi="Times New Roman"/>
          <w:kern w:val="0"/>
          <w:szCs w:val="21"/>
        </w:rPr>
        <w:t xml:space="preserve"> mL </w:t>
      </w:r>
      <w:r>
        <w:rPr>
          <w:rFonts w:ascii="Times New Roman" w:hAnsi="Times New Roman"/>
          <w:kern w:val="0"/>
          <w:szCs w:val="21"/>
        </w:rPr>
        <w:t>BrdU标记液（20</w:t>
      </w:r>
      <w:r>
        <w:rPr>
          <w:rFonts w:hint="eastAsia" w:ascii="Times New Roman" w:hAnsi="Times New Roman"/>
          <w:kern w:val="0"/>
          <w:szCs w:val="21"/>
        </w:rPr>
        <w:t xml:space="preserve"> </w:t>
      </w:r>
      <w:r>
        <w:rPr>
          <w:rFonts w:ascii="Times New Roman" w:hAnsi="Times New Roman"/>
          <w:kern w:val="0"/>
          <w:szCs w:val="21"/>
        </w:rPr>
        <w:t>mg/</w:t>
      </w:r>
      <w:r>
        <w:rPr>
          <w:rFonts w:hint="eastAsia" w:ascii="Times New Roman" w:hAnsi="Times New Roman"/>
          <w:kern w:val="0"/>
          <w:szCs w:val="21"/>
        </w:rPr>
        <w:t>mL</w:t>
      </w:r>
      <w:r>
        <w:rPr>
          <w:rFonts w:ascii="Times New Roman" w:hAnsi="Times New Roman"/>
          <w:kern w:val="0"/>
          <w:szCs w:val="21"/>
        </w:rPr>
        <w:t>)，操作步骤同受试物组。</w:t>
      </w:r>
      <w:bookmarkEnd w:id="4"/>
    </w:p>
    <w:p>
      <w:pPr>
        <w:autoSpaceDE w:val="0"/>
        <w:autoSpaceDN w:val="0"/>
        <w:spacing w:line="300" w:lineRule="auto"/>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.5.5 第6</w:t>
      </w:r>
      <w:r>
        <w:rPr>
          <w:rFonts w:hint="eastAsia" w:ascii="Times New Roman" w:hAnsi="Times New Roman"/>
          <w:kern w:val="0"/>
          <w:szCs w:val="21"/>
        </w:rPr>
        <w:t xml:space="preserve"> d</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腹腔注射BrdU标记液后24</w:t>
      </w:r>
      <w:r>
        <w:rPr>
          <w:rFonts w:hint="eastAsia" w:ascii="Times New Roman" w:hAnsi="Times New Roman"/>
          <w:kern w:val="0"/>
          <w:szCs w:val="21"/>
        </w:rPr>
        <w:t xml:space="preserve"> </w:t>
      </w:r>
      <w:r>
        <w:rPr>
          <w:rFonts w:ascii="Times New Roman" w:hAnsi="Times New Roman"/>
          <w:kern w:val="0"/>
          <w:szCs w:val="21"/>
        </w:rPr>
        <w:t>h，记录小鼠体重和出现的任何临床症状，人道处死</w:t>
      </w:r>
      <w:r>
        <w:rPr>
          <w:rFonts w:hint="eastAsia" w:ascii="Times New Roman" w:hAnsi="Times New Roman"/>
          <w:kern w:val="0"/>
          <w:szCs w:val="21"/>
        </w:rPr>
        <w:t>小鼠</w:t>
      </w:r>
      <w:r>
        <w:rPr>
          <w:rFonts w:ascii="Times New Roman" w:hAnsi="Times New Roman"/>
          <w:kern w:val="0"/>
          <w:szCs w:val="21"/>
        </w:rPr>
        <w:t>摘取双侧</w:t>
      </w:r>
      <w:r>
        <w:rPr>
          <w:rFonts w:hint="eastAsia" w:ascii="Times New Roman" w:hAnsi="Times New Roman"/>
          <w:kern w:val="0"/>
          <w:szCs w:val="21"/>
        </w:rPr>
        <w:t>耳部引流淋巴结</w:t>
      </w:r>
      <w:r>
        <w:rPr>
          <w:rFonts w:ascii="Times New Roman" w:hAnsi="Times New Roman"/>
          <w:kern w:val="0"/>
          <w:szCs w:val="21"/>
        </w:rPr>
        <w:t>，同时分离双侧耳廓</w:t>
      </w:r>
      <w:r>
        <w:rPr>
          <w:rFonts w:hint="eastAsia" w:ascii="Times New Roman" w:hAnsi="Times New Roman"/>
          <w:kern w:val="0"/>
          <w:szCs w:val="21"/>
        </w:rPr>
        <w:t>，用</w:t>
      </w:r>
      <w:r>
        <w:rPr>
          <w:rFonts w:ascii="Times New Roman" w:hAnsi="Times New Roman"/>
          <w:kern w:val="0"/>
          <w:szCs w:val="21"/>
        </w:rPr>
        <w:t>打孔器取下耳片</w:t>
      </w:r>
      <w:r>
        <w:rPr>
          <w:rFonts w:hint="eastAsia" w:ascii="Times New Roman" w:hAnsi="Times New Roman"/>
          <w:kern w:val="0"/>
          <w:szCs w:val="21"/>
        </w:rPr>
        <w:t>，称重</w:t>
      </w:r>
      <w:r>
        <w:rPr>
          <w:rFonts w:ascii="Times New Roman" w:hAnsi="Times New Roman"/>
          <w:kern w:val="0"/>
          <w:szCs w:val="21"/>
        </w:rPr>
        <w:t>。</w:t>
      </w:r>
      <w:r>
        <w:rPr>
          <w:rFonts w:hint="eastAsia" w:ascii="Times New Roman" w:hAnsi="Times New Roman"/>
          <w:kern w:val="0"/>
          <w:szCs w:val="21"/>
        </w:rPr>
        <w:t>耳部引流淋巴结</w:t>
      </w:r>
      <w:r>
        <w:rPr>
          <w:rFonts w:ascii="Times New Roman" w:hAnsi="Times New Roman"/>
          <w:kern w:val="0"/>
          <w:szCs w:val="21"/>
        </w:rPr>
        <w:t>位于咬肌远端，靠近颈静脉分叉处，腺体</w:t>
      </w:r>
      <w:r>
        <w:rPr>
          <w:rFonts w:hint="eastAsia" w:ascii="Times New Roman" w:hAnsi="Times New Roman"/>
          <w:kern w:val="0"/>
          <w:szCs w:val="21"/>
        </w:rPr>
        <w:t>组织旁</w:t>
      </w:r>
      <w:r>
        <w:rPr>
          <w:rFonts w:ascii="Times New Roman" w:hAnsi="Times New Roman"/>
          <w:kern w:val="0"/>
          <w:szCs w:val="21"/>
        </w:rPr>
        <w:t>的部位</w:t>
      </w:r>
      <w:r>
        <w:rPr>
          <w:rFonts w:hint="eastAsia" w:ascii="Times New Roman" w:hAnsi="Times New Roman"/>
          <w:kern w:val="0"/>
          <w:szCs w:val="21"/>
        </w:rPr>
        <w:t>（参考图1、图2）。</w:t>
      </w:r>
    </w:p>
    <w:p>
      <w:pPr>
        <w:autoSpaceDE w:val="0"/>
        <w:autoSpaceDN w:val="0"/>
        <w:spacing w:line="300" w:lineRule="auto"/>
        <w:ind w:firstLine="420" w:firstLineChars="200"/>
        <w:rPr>
          <w:rFonts w:ascii="Times New Roman" w:hAnsi="Times New Roman"/>
          <w:kern w:val="0"/>
          <w:szCs w:val="21"/>
          <w:highlight w:val="yellow"/>
        </w:rPr>
      </w:pPr>
    </w:p>
    <w:p>
      <w:pPr>
        <w:autoSpaceDE w:val="0"/>
        <w:autoSpaceDN w:val="0"/>
        <w:spacing w:line="300" w:lineRule="auto"/>
        <w:ind w:firstLine="420" w:firstLineChars="200"/>
        <w:jc w:val="center"/>
        <w:rPr>
          <w:rFonts w:ascii="Times New Roman" w:hAnsi="Times New Roman"/>
          <w:kern w:val="0"/>
          <w:szCs w:val="21"/>
        </w:rPr>
      </w:pPr>
      <w:r>
        <w:rPr>
          <w:rFonts w:hint="eastAsia" w:ascii="Times New Roman" w:hAnsi="Times New Roman"/>
          <w:kern w:val="0"/>
          <w:szCs w:val="21"/>
        </w:rPr>
        <w:drawing>
          <wp:inline distT="0" distB="0" distL="114300" distR="114300">
            <wp:extent cx="3110230" cy="2160270"/>
            <wp:effectExtent l="0" t="0" r="1270" b="11430"/>
            <wp:docPr id="14" name="图片 14" descr="a36332bb0a05dffe2aabc0fca94e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36332bb0a05dffe2aabc0fca94e769"/>
                    <pic:cNvPicPr>
                      <a:picLocks noChangeAspect="1"/>
                    </pic:cNvPicPr>
                  </pic:nvPicPr>
                  <pic:blipFill>
                    <a:blip r:embed="rId5" cstate="print"/>
                    <a:stretch>
                      <a:fillRect/>
                    </a:stretch>
                  </pic:blipFill>
                  <pic:spPr>
                    <a:xfrm>
                      <a:off x="0" y="0"/>
                      <a:ext cx="3110230" cy="2160270"/>
                    </a:xfrm>
                    <a:prstGeom prst="rect">
                      <a:avLst/>
                    </a:prstGeom>
                  </pic:spPr>
                </pic:pic>
              </a:graphicData>
            </a:graphic>
          </wp:inline>
        </w:drawing>
      </w:r>
    </w:p>
    <w:p>
      <w:pPr>
        <w:spacing w:before="156" w:beforeLines="50" w:after="156" w:afterLines="50" w:line="300" w:lineRule="auto"/>
        <w:jc w:val="center"/>
        <w:rPr>
          <w:rFonts w:ascii="Times New Roman" w:hAnsi="Times New Roman" w:eastAsia="黑体"/>
          <w:bCs/>
          <w:kern w:val="0"/>
          <w:szCs w:val="21"/>
        </w:rPr>
      </w:pPr>
      <w:r>
        <w:rPr>
          <w:rFonts w:hint="eastAsia" w:ascii="Times New Roman" w:hAnsi="Times New Roman" w:eastAsia="黑体"/>
          <w:bCs/>
          <w:kern w:val="0"/>
          <w:szCs w:val="21"/>
        </w:rPr>
        <w:t>图1 小鼠耳部引流淋巴结解剖位置（侧卧位）</w:t>
      </w:r>
    </w:p>
    <w:p>
      <w:pPr>
        <w:autoSpaceDE w:val="0"/>
        <w:autoSpaceDN w:val="0"/>
        <w:spacing w:line="300" w:lineRule="auto"/>
        <w:ind w:firstLine="420" w:firstLineChars="200"/>
        <w:jc w:val="center"/>
        <w:rPr>
          <w:rFonts w:ascii="Times New Roman" w:hAnsi="Times New Roman"/>
          <w:kern w:val="0"/>
          <w:szCs w:val="21"/>
        </w:rPr>
      </w:pPr>
      <w:r>
        <w:rPr>
          <w:rFonts w:hint="eastAsia" w:ascii="Times New Roman" w:hAnsi="Times New Roman"/>
          <w:kern w:val="0"/>
          <w:szCs w:val="21"/>
        </w:rPr>
        <w:drawing>
          <wp:inline distT="0" distB="0" distL="114300" distR="114300">
            <wp:extent cx="3096260" cy="2160270"/>
            <wp:effectExtent l="0" t="0" r="2540" b="11430"/>
            <wp:docPr id="15" name="图片 15" descr="b18a7e97cf2185761f2abacc8b8f0d8"/>
            <wp:cNvGraphicFramePr/>
            <a:graphic xmlns:a="http://schemas.openxmlformats.org/drawingml/2006/main">
              <a:graphicData uri="http://schemas.openxmlformats.org/drawingml/2006/picture">
                <pic:pic xmlns:pic="http://schemas.openxmlformats.org/drawingml/2006/picture">
                  <pic:nvPicPr>
                    <pic:cNvPr id="15" name="图片 15" descr="b18a7e97cf2185761f2abacc8b8f0d8"/>
                    <pic:cNvPicPr/>
                  </pic:nvPicPr>
                  <pic:blipFill>
                    <a:blip r:embed="rId6" cstate="print"/>
                    <a:stretch>
                      <a:fillRect/>
                    </a:stretch>
                  </pic:blipFill>
                  <pic:spPr>
                    <a:xfrm>
                      <a:off x="0" y="0"/>
                      <a:ext cx="3096260" cy="2160270"/>
                    </a:xfrm>
                    <a:prstGeom prst="rect">
                      <a:avLst/>
                    </a:prstGeom>
                  </pic:spPr>
                </pic:pic>
              </a:graphicData>
            </a:graphic>
          </wp:inline>
        </w:drawing>
      </w:r>
    </w:p>
    <w:p>
      <w:pPr>
        <w:spacing w:before="156" w:beforeLines="50" w:after="156" w:afterLines="50" w:line="300" w:lineRule="auto"/>
        <w:jc w:val="center"/>
        <w:rPr>
          <w:rFonts w:ascii="Times New Roman" w:hAnsi="Times New Roman" w:eastAsia="黑体"/>
          <w:bCs/>
          <w:kern w:val="0"/>
          <w:szCs w:val="21"/>
        </w:rPr>
      </w:pPr>
      <w:r>
        <w:rPr>
          <w:rFonts w:hint="eastAsia" w:ascii="Times New Roman" w:hAnsi="Times New Roman" w:eastAsia="黑体"/>
          <w:bCs/>
          <w:kern w:val="0"/>
          <w:szCs w:val="21"/>
        </w:rPr>
        <w:t>图2 小鼠耳部引流淋巴结解剖位置（仰卧位）</w:t>
      </w:r>
    </w:p>
    <w:p>
      <w:pPr>
        <w:autoSpaceDE w:val="0"/>
        <w:autoSpaceDN w:val="0"/>
        <w:spacing w:line="300" w:lineRule="auto"/>
        <w:ind w:firstLine="420" w:firstLineChars="200"/>
        <w:rPr>
          <w:rFonts w:ascii="Times New Roman" w:hAnsi="Times New Roman"/>
          <w:kern w:val="0"/>
          <w:szCs w:val="21"/>
        </w:rPr>
      </w:pPr>
      <w:bookmarkStart w:id="5" w:name="_Hlk516562234"/>
      <w:r>
        <w:rPr>
          <w:rFonts w:hint="eastAsia" w:ascii="Times New Roman" w:hAnsi="Times New Roman"/>
          <w:kern w:val="0"/>
          <w:szCs w:val="21"/>
        </w:rPr>
        <w:t>试验期间每天观察小鼠临床症状（如毛发、步态、行为、呼吸、饮食、排泄物、对刺激的反应等）及耳朵局部刺激症状（红斑症状按表1进行评分）。任何时候出现临床症状异常或者从第1 d到第6 d体重减少超过5%，判断受试物有全身毒性；任何时候出现局部刺激红斑评分≥3和（或）耳廓增重（耳廓厚度）≥25%，判断受试物为明显皮肤刺激性。在整个试验过程中，不应出现全身毒性反应和明显皮肤刺激性反应。</w:t>
      </w:r>
    </w:p>
    <w:bookmarkEnd w:id="5"/>
    <w:p>
      <w:pPr>
        <w:autoSpaceDE w:val="0"/>
        <w:autoSpaceDN w:val="0"/>
        <w:spacing w:before="156" w:beforeLines="50" w:after="156" w:afterLines="50" w:line="300" w:lineRule="auto"/>
        <w:jc w:val="center"/>
        <w:rPr>
          <w:rFonts w:ascii="Times New Roman" w:hAnsi="Times New Roman" w:eastAsia="黑体"/>
          <w:kern w:val="0"/>
          <w:szCs w:val="21"/>
        </w:rPr>
      </w:pPr>
      <w:r>
        <w:rPr>
          <w:rFonts w:ascii="Times New Roman" w:hAnsi="Times New Roman" w:eastAsia="黑体"/>
          <w:kern w:val="0"/>
          <w:szCs w:val="21"/>
        </w:rPr>
        <w:t>表1 红斑评分</w:t>
      </w:r>
    </w:p>
    <w:tbl>
      <w:tblPr>
        <w:tblStyle w:val="6"/>
        <w:tblW w:w="557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5"/>
        <w:gridCol w:w="119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4385" w:type="dxa"/>
            <w:tcBorders>
              <w:bottom w:val="single" w:color="auto" w:sz="4" w:space="0"/>
            </w:tcBorders>
          </w:tcPr>
          <w:p>
            <w:pPr>
              <w:autoSpaceDE w:val="0"/>
              <w:autoSpaceDN w:val="0"/>
              <w:spacing w:line="300" w:lineRule="auto"/>
              <w:ind w:firstLine="420" w:firstLineChars="200"/>
              <w:jc w:val="center"/>
              <w:rPr>
                <w:rFonts w:ascii="Times New Roman" w:hAnsi="Times New Roman"/>
                <w:kern w:val="0"/>
                <w:szCs w:val="21"/>
              </w:rPr>
            </w:pPr>
            <w:r>
              <w:rPr>
                <w:rFonts w:ascii="Times New Roman" w:hAnsi="Times New Roman"/>
                <w:kern w:val="0"/>
                <w:szCs w:val="21"/>
              </w:rPr>
              <w:t>症状</w:t>
            </w:r>
          </w:p>
        </w:tc>
        <w:tc>
          <w:tcPr>
            <w:tcW w:w="1194" w:type="dxa"/>
            <w:tcBorders>
              <w:bottom w:val="single" w:color="auto" w:sz="4" w:space="0"/>
            </w:tcBorders>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分值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4385" w:type="dxa"/>
            <w:tcBorders>
              <w:top w:val="single" w:color="auto" w:sz="4" w:space="0"/>
              <w:tl2br w:val="nil"/>
              <w:tr2bl w:val="nil"/>
            </w:tcBorders>
          </w:tcPr>
          <w:p>
            <w:pPr>
              <w:autoSpaceDE w:val="0"/>
              <w:autoSpaceDN w:val="0"/>
              <w:spacing w:line="300" w:lineRule="auto"/>
              <w:ind w:firstLine="420" w:firstLineChars="200"/>
              <w:jc w:val="center"/>
              <w:rPr>
                <w:rFonts w:ascii="Times New Roman" w:hAnsi="Times New Roman"/>
                <w:kern w:val="0"/>
                <w:szCs w:val="21"/>
              </w:rPr>
            </w:pPr>
            <w:r>
              <w:rPr>
                <w:rFonts w:ascii="Times New Roman" w:hAnsi="Times New Roman"/>
                <w:kern w:val="0"/>
                <w:szCs w:val="21"/>
              </w:rPr>
              <w:t>无红斑</w:t>
            </w:r>
          </w:p>
        </w:tc>
        <w:tc>
          <w:tcPr>
            <w:tcW w:w="1194" w:type="dxa"/>
            <w:tcBorders>
              <w:top w:val="single" w:color="auto" w:sz="4" w:space="0"/>
              <w:tl2br w:val="nil"/>
              <w:tr2bl w:val="nil"/>
            </w:tcBorders>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4385" w:type="dxa"/>
            <w:tcBorders>
              <w:tl2br w:val="nil"/>
              <w:tr2bl w:val="nil"/>
            </w:tcBorders>
          </w:tcPr>
          <w:p>
            <w:pPr>
              <w:autoSpaceDE w:val="0"/>
              <w:autoSpaceDN w:val="0"/>
              <w:spacing w:line="300" w:lineRule="auto"/>
              <w:ind w:firstLine="420" w:firstLineChars="200"/>
              <w:jc w:val="center"/>
              <w:rPr>
                <w:rFonts w:ascii="Times New Roman" w:hAnsi="Times New Roman"/>
                <w:kern w:val="0"/>
                <w:szCs w:val="21"/>
              </w:rPr>
            </w:pPr>
            <w:r>
              <w:rPr>
                <w:rFonts w:ascii="Times New Roman" w:hAnsi="Times New Roman"/>
                <w:kern w:val="0"/>
                <w:szCs w:val="21"/>
              </w:rPr>
              <w:t>轻微红斑（勉强可见）</w:t>
            </w:r>
          </w:p>
        </w:tc>
        <w:tc>
          <w:tcPr>
            <w:tcW w:w="1194" w:type="dxa"/>
            <w:tcBorders>
              <w:tl2br w:val="nil"/>
              <w:tr2bl w:val="nil"/>
            </w:tcBorders>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4385" w:type="dxa"/>
            <w:tcBorders>
              <w:tl2br w:val="nil"/>
              <w:tr2bl w:val="nil"/>
            </w:tcBorders>
          </w:tcPr>
          <w:p>
            <w:pPr>
              <w:autoSpaceDE w:val="0"/>
              <w:autoSpaceDN w:val="0"/>
              <w:spacing w:line="300" w:lineRule="auto"/>
              <w:ind w:firstLine="420" w:firstLineChars="200"/>
              <w:jc w:val="center"/>
              <w:rPr>
                <w:rFonts w:ascii="Times New Roman" w:hAnsi="Times New Roman"/>
                <w:kern w:val="0"/>
                <w:szCs w:val="21"/>
              </w:rPr>
            </w:pPr>
            <w:r>
              <w:rPr>
                <w:rFonts w:hint="eastAsia" w:ascii="Times New Roman" w:hAnsi="Times New Roman"/>
                <w:kern w:val="0"/>
                <w:szCs w:val="21"/>
              </w:rPr>
              <w:t>清晰</w:t>
            </w:r>
            <w:r>
              <w:rPr>
                <w:rFonts w:ascii="Times New Roman" w:hAnsi="Times New Roman"/>
                <w:kern w:val="0"/>
                <w:szCs w:val="21"/>
              </w:rPr>
              <w:t>红斑</w:t>
            </w:r>
          </w:p>
        </w:tc>
        <w:tc>
          <w:tcPr>
            <w:tcW w:w="1194" w:type="dxa"/>
            <w:tcBorders>
              <w:tl2br w:val="nil"/>
              <w:tr2bl w:val="nil"/>
            </w:tcBorders>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4385" w:type="dxa"/>
            <w:tcBorders>
              <w:tl2br w:val="nil"/>
              <w:tr2bl w:val="nil"/>
            </w:tcBorders>
          </w:tcPr>
          <w:p>
            <w:pPr>
              <w:autoSpaceDE w:val="0"/>
              <w:autoSpaceDN w:val="0"/>
              <w:spacing w:line="300" w:lineRule="auto"/>
              <w:ind w:firstLine="420" w:firstLineChars="200"/>
              <w:jc w:val="center"/>
              <w:rPr>
                <w:rFonts w:ascii="Times New Roman" w:hAnsi="Times New Roman"/>
                <w:kern w:val="0"/>
                <w:szCs w:val="21"/>
              </w:rPr>
            </w:pPr>
            <w:r>
              <w:rPr>
                <w:rFonts w:ascii="Times New Roman" w:hAnsi="Times New Roman"/>
                <w:kern w:val="0"/>
                <w:szCs w:val="21"/>
              </w:rPr>
              <w:t>中度-重度红斑</w:t>
            </w:r>
          </w:p>
        </w:tc>
        <w:tc>
          <w:tcPr>
            <w:tcW w:w="1194" w:type="dxa"/>
            <w:tcBorders>
              <w:tl2br w:val="nil"/>
              <w:tr2bl w:val="nil"/>
            </w:tcBorders>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4385" w:type="dxa"/>
            <w:tcBorders>
              <w:tl2br w:val="nil"/>
              <w:tr2bl w:val="nil"/>
            </w:tcBorders>
          </w:tcPr>
          <w:p>
            <w:pPr>
              <w:autoSpaceDE w:val="0"/>
              <w:autoSpaceDN w:val="0"/>
              <w:spacing w:line="300" w:lineRule="auto"/>
              <w:ind w:firstLine="420" w:firstLineChars="200"/>
              <w:jc w:val="center"/>
              <w:rPr>
                <w:rFonts w:ascii="Times New Roman" w:hAnsi="Times New Roman"/>
                <w:kern w:val="0"/>
                <w:szCs w:val="21"/>
              </w:rPr>
            </w:pPr>
            <w:r>
              <w:rPr>
                <w:rFonts w:ascii="Times New Roman" w:hAnsi="Times New Roman"/>
                <w:kern w:val="0"/>
                <w:szCs w:val="21"/>
              </w:rPr>
              <w:t>严重红斑（紫红色）至轻微焦痂形成</w:t>
            </w:r>
          </w:p>
        </w:tc>
        <w:tc>
          <w:tcPr>
            <w:tcW w:w="1194" w:type="dxa"/>
            <w:tcBorders>
              <w:tl2br w:val="nil"/>
              <w:tr2bl w:val="nil"/>
            </w:tcBorders>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4</w:t>
            </w:r>
          </w:p>
        </w:tc>
      </w:tr>
    </w:tbl>
    <w:p>
      <w:pPr>
        <w:autoSpaceDE w:val="0"/>
        <w:autoSpaceDN w:val="0"/>
        <w:spacing w:line="300" w:lineRule="auto"/>
        <w:ind w:firstLine="420" w:firstLineChars="200"/>
        <w:rPr>
          <w:rFonts w:ascii="Times New Roman" w:hAnsi="Times New Roman"/>
          <w:kern w:val="0"/>
          <w:szCs w:val="21"/>
        </w:rPr>
      </w:pPr>
    </w:p>
    <w:p>
      <w:pPr>
        <w:autoSpaceDE w:val="0"/>
        <w:autoSpaceDN w:val="0"/>
        <w:spacing w:line="300" w:lineRule="auto"/>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.5.6</w:t>
      </w:r>
      <w:r>
        <w:rPr>
          <w:rFonts w:hint="eastAsia" w:ascii="Times New Roman" w:hAnsi="Times New Roman"/>
          <w:kern w:val="0"/>
          <w:szCs w:val="21"/>
        </w:rPr>
        <w:t xml:space="preserve"> </w:t>
      </w:r>
      <w:r>
        <w:rPr>
          <w:rFonts w:ascii="Times New Roman" w:hAnsi="Times New Roman"/>
          <w:kern w:val="0"/>
          <w:szCs w:val="21"/>
        </w:rPr>
        <w:t>淋巴细胞悬液制备</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将每只小鼠分离的淋巴结在磷酸盐缓冲液（PBS）中研磨，用200目不锈钢筛网过滤（也可用一次性的70</w:t>
      </w:r>
      <w:r>
        <w:rPr>
          <w:rFonts w:hint="eastAsia" w:ascii="Times New Roman" w:hAnsi="Times New Roman"/>
          <w:kern w:val="0"/>
          <w:szCs w:val="21"/>
        </w:rPr>
        <w:t xml:space="preserve"> </w:t>
      </w:r>
      <w:r>
        <w:rPr>
          <w:rFonts w:ascii="Times New Roman" w:hAnsi="Times New Roman"/>
          <w:kern w:val="0"/>
          <w:szCs w:val="21"/>
        </w:rPr>
        <w:t>μ</w:t>
      </w:r>
      <w:r>
        <w:rPr>
          <w:rFonts w:hint="eastAsia" w:ascii="Times New Roman" w:hAnsi="Times New Roman"/>
          <w:kern w:val="0"/>
          <w:szCs w:val="21"/>
        </w:rPr>
        <w:t>m</w:t>
      </w:r>
      <w:r>
        <w:rPr>
          <w:rFonts w:ascii="Times New Roman" w:hAnsi="Times New Roman"/>
          <w:kern w:val="0"/>
          <w:szCs w:val="21"/>
        </w:rPr>
        <w:t>尼龙膜过滤），制成单细胞悬液。用PBS洗一次，300</w:t>
      </w:r>
      <w:r>
        <w:rPr>
          <w:rFonts w:hint="eastAsia" w:ascii="Times New Roman" w:hAnsi="Times New Roman"/>
          <w:kern w:val="0"/>
          <w:szCs w:val="21"/>
        </w:rPr>
        <w:t xml:space="preserve"> </w:t>
      </w:r>
      <w:r>
        <w:rPr>
          <w:rFonts w:ascii="Times New Roman" w:hAnsi="Times New Roman"/>
          <w:kern w:val="0"/>
          <w:szCs w:val="21"/>
        </w:rPr>
        <w:t>g离心5</w:t>
      </w:r>
      <w:r>
        <w:rPr>
          <w:rFonts w:hint="eastAsia" w:ascii="Times New Roman" w:hAnsi="Times New Roman"/>
          <w:kern w:val="0"/>
          <w:szCs w:val="21"/>
        </w:rPr>
        <w:t xml:space="preserve"> </w:t>
      </w:r>
      <w:r>
        <w:rPr>
          <w:rFonts w:ascii="Times New Roman" w:hAnsi="Times New Roman"/>
          <w:kern w:val="0"/>
          <w:szCs w:val="21"/>
        </w:rPr>
        <w:t>min后，细胞重悬于1</w:t>
      </w:r>
      <w:r>
        <w:rPr>
          <w:rFonts w:hint="eastAsia" w:ascii="Times New Roman" w:hAnsi="Times New Roman"/>
          <w:kern w:val="0"/>
          <w:szCs w:val="21"/>
        </w:rPr>
        <w:t xml:space="preserve"> mL</w:t>
      </w:r>
      <w:r>
        <w:rPr>
          <w:rFonts w:ascii="Times New Roman" w:hAnsi="Times New Roman"/>
          <w:kern w:val="0"/>
          <w:szCs w:val="21"/>
        </w:rPr>
        <w:t xml:space="preserve"> PBS中，进行细胞计数，调整细胞浓度为1.5×10</w:t>
      </w:r>
      <w:r>
        <w:rPr>
          <w:rFonts w:ascii="Times New Roman" w:hAnsi="Times New Roman"/>
          <w:kern w:val="0"/>
          <w:szCs w:val="21"/>
          <w:vertAlign w:val="superscript"/>
        </w:rPr>
        <w:t>6</w:t>
      </w:r>
      <w:r>
        <w:rPr>
          <w:rFonts w:hint="eastAsia" w:ascii="Times New Roman" w:hAnsi="Times New Roman"/>
          <w:kern w:val="0"/>
          <w:szCs w:val="21"/>
        </w:rPr>
        <w:t>个</w:t>
      </w:r>
      <w:r>
        <w:rPr>
          <w:rFonts w:ascii="Times New Roman" w:hAnsi="Times New Roman"/>
          <w:kern w:val="0"/>
          <w:szCs w:val="21"/>
        </w:rPr>
        <w:t>/</w:t>
      </w:r>
      <w:r>
        <w:rPr>
          <w:rFonts w:hint="eastAsia" w:ascii="Times New Roman" w:hAnsi="Times New Roman"/>
          <w:kern w:val="0"/>
          <w:szCs w:val="21"/>
        </w:rPr>
        <w:t>mL</w:t>
      </w:r>
      <w:r>
        <w:rPr>
          <w:rFonts w:ascii="Times New Roman" w:hAnsi="Times New Roman"/>
          <w:kern w:val="0"/>
          <w:szCs w:val="21"/>
        </w:rPr>
        <w:t>。</w:t>
      </w:r>
    </w:p>
    <w:p>
      <w:pPr>
        <w:autoSpaceDE w:val="0"/>
        <w:autoSpaceDN w:val="0"/>
        <w:spacing w:line="300" w:lineRule="auto"/>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.5.7</w:t>
      </w:r>
      <w:r>
        <w:rPr>
          <w:rFonts w:hint="eastAsia" w:ascii="Times New Roman" w:hAnsi="Times New Roman"/>
          <w:kern w:val="0"/>
          <w:szCs w:val="21"/>
        </w:rPr>
        <w:t xml:space="preserve"> </w:t>
      </w:r>
      <w:r>
        <w:rPr>
          <w:rFonts w:ascii="Times New Roman" w:hAnsi="Times New Roman"/>
          <w:kern w:val="0"/>
          <w:szCs w:val="21"/>
        </w:rPr>
        <w:t>细胞增殖测定（淋巴细胞DNA中</w:t>
      </w:r>
      <w:bookmarkStart w:id="6" w:name="OLE_LINK8"/>
      <w:r>
        <w:rPr>
          <w:rFonts w:ascii="Times New Roman" w:hAnsi="Times New Roman"/>
          <w:kern w:val="0"/>
          <w:szCs w:val="21"/>
        </w:rPr>
        <w:t>BrdU</w:t>
      </w:r>
      <w:bookmarkEnd w:id="6"/>
      <w:r>
        <w:rPr>
          <w:rFonts w:ascii="Times New Roman" w:hAnsi="Times New Roman"/>
          <w:kern w:val="0"/>
          <w:szCs w:val="21"/>
        </w:rPr>
        <w:t>含量的测定）</w:t>
      </w:r>
    </w:p>
    <w:p>
      <w:pPr>
        <w:autoSpaceDE w:val="0"/>
        <w:autoSpaceDN w:val="0"/>
        <w:spacing w:line="300" w:lineRule="auto"/>
        <w:ind w:firstLine="420" w:firstLineChars="200"/>
        <w:rPr>
          <w:rFonts w:ascii="Times New Roman" w:hAnsi="Times New Roman"/>
        </w:rPr>
      </w:pPr>
      <w:r>
        <w:rPr>
          <w:rFonts w:ascii="Times New Roman" w:hAnsi="Times New Roman"/>
          <w:kern w:val="0"/>
          <w:szCs w:val="21"/>
        </w:rPr>
        <w:t>用FITC</w:t>
      </w:r>
      <w:r>
        <w:rPr>
          <w:rFonts w:hint="eastAsia" w:ascii="Times New Roman" w:hAnsi="Times New Roman"/>
          <w:kern w:val="0"/>
          <w:szCs w:val="21"/>
        </w:rPr>
        <w:t>标记的</w:t>
      </w:r>
      <w:r>
        <w:rPr>
          <w:rFonts w:ascii="Times New Roman" w:hAnsi="Times New Roman"/>
          <w:kern w:val="0"/>
          <w:szCs w:val="21"/>
        </w:rPr>
        <w:t>BrdU</w:t>
      </w:r>
      <w:r>
        <w:rPr>
          <w:rFonts w:hint="eastAsia" w:ascii="Times New Roman" w:hAnsi="Times New Roman"/>
          <w:kern w:val="0"/>
          <w:szCs w:val="21"/>
        </w:rPr>
        <w:t>-</w:t>
      </w:r>
      <w:r>
        <w:rPr>
          <w:rFonts w:ascii="Times New Roman" w:hAnsi="Times New Roman"/>
          <w:kern w:val="0"/>
          <w:szCs w:val="21"/>
        </w:rPr>
        <w:t>FCM试剂盒测定BrdU含量。</w:t>
      </w:r>
      <w:r>
        <w:rPr>
          <w:rFonts w:ascii="Times New Roman" w:hAnsi="Times New Roman"/>
        </w:rPr>
        <w:t>将淋巴细胞悬液（</w:t>
      </w:r>
      <w:r>
        <w:rPr>
          <w:rFonts w:ascii="Times New Roman" w:hAnsi="Times New Roman"/>
          <w:kern w:val="0"/>
          <w:szCs w:val="21"/>
        </w:rPr>
        <w:t>1.5×10</w:t>
      </w:r>
      <w:r>
        <w:rPr>
          <w:rFonts w:ascii="Times New Roman" w:hAnsi="Times New Roman"/>
          <w:kern w:val="0"/>
          <w:szCs w:val="21"/>
          <w:vertAlign w:val="superscript"/>
        </w:rPr>
        <w:t>6</w:t>
      </w:r>
      <w:r>
        <w:rPr>
          <w:rFonts w:ascii="Times New Roman" w:hAnsi="Times New Roman"/>
          <w:kern w:val="0"/>
          <w:szCs w:val="21"/>
        </w:rPr>
        <w:t>个</w:t>
      </w:r>
      <w:r>
        <w:rPr>
          <w:rFonts w:ascii="Times New Roman" w:hAnsi="Times New Roman"/>
        </w:rPr>
        <w:t>）离心后，弃上清，用试剂盒提供的固定破膜缓冲液使细胞通透，然后用DNA酶处理。洗涤后，加入FITC标记的抗BrdU抗体孵育，再次洗涤后加7-AAD溶液重悬细胞</w:t>
      </w:r>
      <w:r>
        <w:rPr>
          <w:rFonts w:hint="eastAsia" w:ascii="Times New Roman" w:hAnsi="Times New Roman"/>
        </w:rPr>
        <w:t>，以标记存活细胞</w:t>
      </w:r>
      <w:r>
        <w:rPr>
          <w:rFonts w:ascii="Times New Roman" w:hAnsi="Times New Roman"/>
        </w:rPr>
        <w:t>。用流式细胞仪计数细胞群（10</w:t>
      </w:r>
      <w:r>
        <w:rPr>
          <w:rFonts w:ascii="Times New Roman" w:hAnsi="Times New Roman"/>
          <w:vertAlign w:val="superscript"/>
        </w:rPr>
        <w:t>4</w:t>
      </w:r>
      <w:r>
        <w:rPr>
          <w:rFonts w:ascii="Times New Roman" w:hAnsi="Times New Roman"/>
        </w:rPr>
        <w:t>个细胞）中表达7-AAD的BrdU阳性细胞的数量。</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流式细胞仪检测时，空白对照样本用于调节FSC/SSC和FL1（BrdU）/FL3（7-AAD）通道的电压和增益，使FSC/SSC散点图分群清晰、分布良好，使</w:t>
      </w:r>
      <w:bookmarkStart w:id="7" w:name="OLE_LINK7"/>
      <w:r>
        <w:rPr>
          <w:rFonts w:ascii="Times New Roman" w:hAnsi="Times New Roman"/>
          <w:kern w:val="0"/>
          <w:szCs w:val="21"/>
        </w:rPr>
        <w:t>FL1和FL3</w:t>
      </w:r>
      <w:bookmarkEnd w:id="7"/>
      <w:r>
        <w:rPr>
          <w:rFonts w:ascii="Times New Roman" w:hAnsi="Times New Roman"/>
          <w:kern w:val="0"/>
          <w:szCs w:val="21"/>
        </w:rPr>
        <w:t>散点图中的细胞群体位于左下象限</w:t>
      </w:r>
      <w:r>
        <w:rPr>
          <w:rFonts w:hint="eastAsia" w:ascii="Times New Roman" w:hAnsi="Times New Roman"/>
          <w:kern w:val="0"/>
          <w:szCs w:val="21"/>
        </w:rPr>
        <w:t>。</w:t>
      </w:r>
      <w:r>
        <w:rPr>
          <w:rFonts w:ascii="Times New Roman" w:hAnsi="Times New Roman"/>
          <w:kern w:val="0"/>
          <w:szCs w:val="21"/>
        </w:rPr>
        <w:t>空白对照样本BrdU阳性细胞百分比（右上</w:t>
      </w:r>
      <w:r>
        <w:rPr>
          <w:rFonts w:hint="eastAsia" w:ascii="Times New Roman" w:hAnsi="Times New Roman"/>
          <w:kern w:val="0"/>
          <w:szCs w:val="21"/>
        </w:rPr>
        <w:t>象限</w:t>
      </w:r>
      <w:r>
        <w:rPr>
          <w:rFonts w:ascii="Times New Roman" w:hAnsi="Times New Roman"/>
          <w:kern w:val="0"/>
          <w:szCs w:val="21"/>
        </w:rPr>
        <w:t>%）为0，注射BrdU标记液的未处理对照样本BrdU阳性细胞百分比约为1%。</w:t>
      </w:r>
    </w:p>
    <w:p>
      <w:pPr>
        <w:spacing w:before="156" w:beforeLines="50" w:after="156" w:afterLines="50" w:line="300" w:lineRule="auto"/>
        <w:rPr>
          <w:rFonts w:ascii="Times New Roman" w:hAnsi="Times New Roman" w:eastAsia="黑体"/>
          <w:bCs/>
          <w:kern w:val="0"/>
          <w:szCs w:val="21"/>
        </w:rPr>
      </w:pPr>
      <w:r>
        <w:rPr>
          <w:rFonts w:hint="eastAsia" w:ascii="Times New Roman" w:hAnsi="Times New Roman" w:eastAsia="黑体"/>
          <w:bCs/>
          <w:kern w:val="0"/>
          <w:szCs w:val="21"/>
        </w:rPr>
        <w:t xml:space="preserve">8  </w:t>
      </w:r>
      <w:r>
        <w:rPr>
          <w:rFonts w:ascii="Times New Roman" w:hAnsi="Times New Roman" w:eastAsia="黑体"/>
          <w:bCs/>
          <w:kern w:val="0"/>
          <w:szCs w:val="21"/>
        </w:rPr>
        <w:t>数据处理</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BrdU标记细胞数计算公式如下：</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BrdU标记细胞数=BrdU阳性细胞百分比（</w:t>
      </w:r>
      <w:bookmarkStart w:id="8" w:name="OLE_LINK10"/>
      <w:r>
        <w:rPr>
          <w:rFonts w:ascii="Times New Roman" w:hAnsi="Times New Roman"/>
          <w:kern w:val="0"/>
          <w:szCs w:val="21"/>
        </w:rPr>
        <w:t>右上</w:t>
      </w:r>
      <w:r>
        <w:rPr>
          <w:rFonts w:hint="eastAsia" w:ascii="Times New Roman" w:hAnsi="Times New Roman"/>
          <w:kern w:val="0"/>
          <w:szCs w:val="21"/>
        </w:rPr>
        <w:t>象限</w:t>
      </w:r>
      <w:bookmarkEnd w:id="8"/>
      <w:r>
        <w:rPr>
          <w:rFonts w:ascii="Times New Roman" w:hAnsi="Times New Roman"/>
          <w:kern w:val="0"/>
          <w:szCs w:val="21"/>
        </w:rPr>
        <w:t>%）</w:t>
      </w:r>
      <w:r>
        <w:rPr>
          <w:rFonts w:hint="eastAsia" w:ascii="宋体" w:hAnsi="宋体" w:cs="宋体"/>
          <w:kern w:val="0"/>
          <w:szCs w:val="21"/>
        </w:rPr>
        <w:fldChar w:fldCharType="begin"/>
      </w:r>
      <w:r>
        <w:rPr>
          <w:rFonts w:hint="eastAsia" w:ascii="宋体" w:hAnsi="宋体" w:cs="宋体"/>
          <w:kern w:val="0"/>
          <w:szCs w:val="21"/>
        </w:rPr>
        <w:instrText xml:space="preserve"> QUOTE </w:instrText>
      </w:r>
      <w:r>
        <w:rPr>
          <w:rFonts w:ascii="宋体" w:hAnsi="宋体" w:cs="宋体"/>
          <w:kern w:val="0"/>
          <w:szCs w:val="21"/>
        </w:rPr>
        <w:pict>
          <v:shape id="_x0000_i1025" o:spt="75" type="#_x0000_t75" style="height:11.9pt;width:11.9pt;" filled="f" o:preferrelative="t" stroked="f" coordsize="21600,21600" equationxml="&lt;">
            <v:path/>
            <v:fill on="f" focussize="0,0"/>
            <v:stroke on="f" joinstyle="miter"/>
            <v:imagedata r:id="rId7" chromakey="#FFFFFF" o:title=""/>
            <o:lock v:ext="edit" aspectratio="t"/>
            <w10:wrap type="none"/>
            <w10:anchorlock/>
          </v:shape>
        </w:pict>
      </w:r>
      <w:r>
        <w:rPr>
          <w:rFonts w:hint="eastAsia" w:ascii="宋体" w:hAnsi="宋体" w:cs="宋体"/>
          <w:kern w:val="0"/>
          <w:szCs w:val="21"/>
        </w:rPr>
        <w:fldChar w:fldCharType="separate"/>
      </w:r>
      <w:r>
        <w:rPr>
          <w:rFonts w:hint="eastAsia" w:ascii="宋体" w:hAnsi="宋体" w:cs="宋体"/>
          <w:kern w:val="0"/>
          <w:szCs w:val="21"/>
        </w:rPr>
        <w:t>×</w:t>
      </w:r>
      <w:r>
        <w:rPr>
          <w:rFonts w:hint="eastAsia" w:ascii="宋体" w:hAnsi="宋体" w:cs="宋体"/>
          <w:kern w:val="0"/>
          <w:szCs w:val="21"/>
        </w:rPr>
        <w:fldChar w:fldCharType="end"/>
      </w:r>
      <w:r>
        <w:rPr>
          <w:rFonts w:ascii="Times New Roman" w:hAnsi="Times New Roman"/>
          <w:kern w:val="0"/>
          <w:szCs w:val="21"/>
        </w:rPr>
        <w:t>淋巴细胞数</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注：右上</w:t>
      </w:r>
      <w:r>
        <w:rPr>
          <w:rFonts w:hint="eastAsia" w:ascii="Times New Roman" w:hAnsi="Times New Roman"/>
          <w:kern w:val="0"/>
          <w:szCs w:val="21"/>
        </w:rPr>
        <w:t>象限</w:t>
      </w:r>
      <w:r>
        <w:rPr>
          <w:rFonts w:ascii="Times New Roman" w:hAnsi="Times New Roman"/>
          <w:kern w:val="0"/>
          <w:szCs w:val="21"/>
        </w:rPr>
        <w:t>%，流式细胞仪分析中</w:t>
      </w:r>
      <w:r>
        <w:rPr>
          <w:rFonts w:ascii="宋体" w:hAnsi="宋体"/>
          <w:kern w:val="0"/>
          <w:szCs w:val="21"/>
        </w:rPr>
        <w:t>“</w:t>
      </w:r>
      <w:r>
        <w:rPr>
          <w:rFonts w:ascii="Times New Roman" w:hAnsi="Times New Roman"/>
          <w:kern w:val="0"/>
          <w:szCs w:val="21"/>
        </w:rPr>
        <w:t>象限统计</w:t>
      </w:r>
      <w:r>
        <w:rPr>
          <w:rFonts w:ascii="宋体" w:hAnsi="宋体"/>
          <w:kern w:val="0"/>
          <w:szCs w:val="21"/>
        </w:rPr>
        <w:t>”</w:t>
      </w:r>
      <w:r>
        <w:rPr>
          <w:rFonts w:ascii="Times New Roman" w:hAnsi="Times New Roman"/>
          <w:kern w:val="0"/>
          <w:szCs w:val="21"/>
        </w:rPr>
        <w:t>的门控百分比数据。</w:t>
      </w:r>
    </w:p>
    <w:p>
      <w:pPr>
        <w:autoSpaceDE w:val="0"/>
        <w:autoSpaceDN w:val="0"/>
        <w:spacing w:line="300" w:lineRule="auto"/>
        <w:ind w:firstLine="420" w:firstLineChars="200"/>
        <w:rPr>
          <w:rFonts w:ascii="Times New Roman" w:hAnsi="Times New Roman"/>
          <w:kern w:val="0"/>
          <w:szCs w:val="21"/>
        </w:rPr>
      </w:pPr>
      <w:r>
        <w:rPr>
          <w:rFonts w:hint="eastAsia" w:ascii="Times New Roman" w:hAnsi="Times New Roman"/>
          <w:kern w:val="0"/>
          <w:szCs w:val="21"/>
        </w:rPr>
        <w:t>刺激指数</w:t>
      </w:r>
      <w:r>
        <w:rPr>
          <w:rFonts w:ascii="Times New Roman" w:hAnsi="Times New Roman"/>
          <w:kern w:val="0"/>
          <w:szCs w:val="21"/>
        </w:rPr>
        <w:t>计算公式如下：</w:t>
      </w:r>
    </w:p>
    <w:p>
      <w:pPr>
        <w:autoSpaceDE w:val="0"/>
        <w:autoSpaceDN w:val="0"/>
        <w:spacing w:line="300" w:lineRule="auto"/>
        <w:ind w:firstLine="440" w:firstLineChars="200"/>
        <w:rPr>
          <w:rFonts w:ascii="Times New Roman" w:hAnsi="Times New Roman"/>
          <w:kern w:val="0"/>
          <w:sz w:val="22"/>
          <w:szCs w:val="21"/>
        </w:rPr>
      </w:pPr>
      <m:oMathPara>
        <m:oMath>
          <m:r>
            <m:rPr>
              <m:sty m:val="p"/>
            </m:rPr>
            <w:rPr>
              <w:rFonts w:hint="eastAsia" w:ascii="Cambria Math" w:hAnsi="Cambria Math"/>
              <w:kern w:val="0"/>
              <w:sz w:val="22"/>
              <w:szCs w:val="21"/>
            </w:rPr>
            <m:t>刺激指数（</m:t>
          </m:r>
          <m:r>
            <m:rPr>
              <m:sty m:val="p"/>
            </m:rPr>
            <w:rPr>
              <w:rFonts w:ascii="Cambria Math" w:hAnsi="Cambria Math"/>
              <w:kern w:val="0"/>
              <w:sz w:val="22"/>
              <w:szCs w:val="21"/>
            </w:rPr>
            <m:t>SI</m:t>
          </m:r>
          <m:r>
            <m:rPr>
              <m:sty m:val="p"/>
            </m:rPr>
            <w:rPr>
              <w:rFonts w:hint="eastAsia" w:ascii="Cambria Math" w:hAnsi="Cambria Math"/>
              <w:kern w:val="0"/>
              <w:sz w:val="22"/>
              <w:szCs w:val="21"/>
            </w:rPr>
            <m:t>）</m:t>
          </m:r>
          <m:r>
            <m:rPr>
              <m:sty m:val="p"/>
            </m:rPr>
            <w:rPr>
              <w:rFonts w:ascii="Cambria Math" w:hAnsi="Cambria Math" w:eastAsia="Cambria Math" w:cs="Cambria Math"/>
              <w:kern w:val="0"/>
              <w:sz w:val="22"/>
              <w:szCs w:val="21"/>
            </w:rPr>
            <m:t>=</m:t>
          </m:r>
          <m:f>
            <m:fPr>
              <m:ctrlPr>
                <w:rPr>
                  <w:rFonts w:ascii="Cambria Math" w:hAnsi="Cambria Math" w:eastAsia="Cambria Math"/>
                  <w:kern w:val="0"/>
                  <w:sz w:val="22"/>
                  <w:szCs w:val="21"/>
                </w:rPr>
              </m:ctrlPr>
            </m:fPr>
            <m:num>
              <m:r>
                <m:rPr>
                  <m:sty m:val="p"/>
                </m:rPr>
                <w:rPr>
                  <w:rFonts w:hint="eastAsia" w:ascii="Cambria Math" w:hAnsi="Cambria Math"/>
                  <w:kern w:val="0"/>
                  <w:sz w:val="22"/>
                  <w:szCs w:val="21"/>
                </w:rPr>
                <m:t>受试物或阳性对照组</m:t>
              </m:r>
              <m:r>
                <m:rPr>
                  <m:sty m:val="p"/>
                </m:rPr>
                <w:rPr>
                  <w:rFonts w:ascii="Cambria Math" w:hAnsi="Cambria Math"/>
                  <w:kern w:val="0"/>
                  <w:sz w:val="22"/>
                  <w:szCs w:val="21"/>
                </w:rPr>
                <m:t>BrdU</m:t>
              </m:r>
              <m:r>
                <m:rPr>
                  <m:sty m:val="p"/>
                </m:rPr>
                <w:rPr>
                  <w:rFonts w:hint="eastAsia" w:ascii="Cambria Math" w:hAnsi="Cambria Math"/>
                  <w:kern w:val="0"/>
                  <w:sz w:val="22"/>
                  <w:szCs w:val="21"/>
                </w:rPr>
                <m:t>标记细胞数均值</m:t>
              </m:r>
              <m:ctrlPr>
                <w:rPr>
                  <w:rFonts w:ascii="Cambria Math" w:hAnsi="Cambria Math" w:eastAsia="Cambria Math"/>
                  <w:kern w:val="0"/>
                  <w:sz w:val="22"/>
                  <w:szCs w:val="21"/>
                </w:rPr>
              </m:ctrlPr>
            </m:num>
            <m:den>
              <m:r>
                <m:rPr>
                  <m:sty m:val="p"/>
                </m:rPr>
                <w:rPr>
                  <w:rFonts w:hint="eastAsia" w:ascii="Cambria Math" w:hAnsi="Cambria Math"/>
                  <w:kern w:val="0"/>
                  <w:sz w:val="22"/>
                  <w:szCs w:val="21"/>
                </w:rPr>
                <m:t>溶剂对照组</m:t>
              </m:r>
              <m:r>
                <m:rPr>
                  <m:sty m:val="p"/>
                </m:rPr>
                <w:rPr>
                  <w:rFonts w:ascii="Cambria Math" w:hAnsi="Cambria Math"/>
                  <w:kern w:val="0"/>
                  <w:sz w:val="22"/>
                  <w:szCs w:val="21"/>
                </w:rPr>
                <m:t>BrdU</m:t>
              </m:r>
              <m:r>
                <m:rPr>
                  <m:sty m:val="p"/>
                </m:rPr>
                <w:rPr>
                  <w:rFonts w:hint="eastAsia" w:ascii="Cambria Math" w:hAnsi="Cambria Math"/>
                  <w:kern w:val="0"/>
                  <w:sz w:val="22"/>
                  <w:szCs w:val="21"/>
                </w:rPr>
                <m:t>标记细胞数均值</m:t>
              </m:r>
              <m:ctrlPr>
                <w:rPr>
                  <w:rFonts w:ascii="Cambria Math" w:hAnsi="Cambria Math" w:eastAsia="Cambria Math"/>
                  <w:kern w:val="0"/>
                  <w:sz w:val="22"/>
                  <w:szCs w:val="21"/>
                </w:rPr>
              </m:ctrlPr>
            </m:den>
          </m:f>
        </m:oMath>
      </m:oMathPara>
    </w:p>
    <w:p>
      <w:pPr>
        <w:autoSpaceDE w:val="0"/>
        <w:autoSpaceDN w:val="0"/>
        <w:spacing w:line="300" w:lineRule="auto"/>
        <w:rPr>
          <w:rFonts w:ascii="Times New Roman" w:hAnsi="Times New Roman"/>
          <w:kern w:val="0"/>
          <w:szCs w:val="21"/>
        </w:rPr>
      </w:pPr>
    </w:p>
    <w:p>
      <w:pPr>
        <w:spacing w:line="300" w:lineRule="auto"/>
        <w:ind w:firstLine="420" w:firstLineChars="200"/>
        <w:rPr>
          <w:rFonts w:ascii="Times New Roman" w:hAnsi="Times New Roman" w:eastAsiaTheme="minorEastAsia"/>
          <w:szCs w:val="21"/>
        </w:rPr>
      </w:pPr>
      <w:r>
        <w:rPr>
          <w:rFonts w:ascii="Times New Roman" w:hAnsi="Times New Roman"/>
          <w:kern w:val="0"/>
          <w:szCs w:val="21"/>
        </w:rPr>
        <w:t>EC</w:t>
      </w:r>
      <w:bookmarkStart w:id="9" w:name="_Hlk517183006"/>
      <w:r>
        <w:rPr>
          <w:rFonts w:ascii="Times New Roman" w:hAnsi="Times New Roman"/>
          <w:kern w:val="0"/>
          <w:szCs w:val="21"/>
        </w:rPr>
        <w:t>2.7（estimated concentration needed to produce SI=2.7）</w:t>
      </w:r>
      <w:bookmarkEnd w:id="9"/>
      <w:r>
        <w:rPr>
          <w:rFonts w:ascii="Times New Roman" w:hAnsi="Times New Roman"/>
          <w:kern w:val="0"/>
          <w:szCs w:val="21"/>
        </w:rPr>
        <w:t>为SI=2.7时受试物的浓度。</w:t>
      </w:r>
      <w:r>
        <w:rPr>
          <w:rFonts w:hint="eastAsia" w:ascii="Times New Roman" w:hAnsi="Times New Roman"/>
          <w:kern w:val="0"/>
          <w:szCs w:val="21"/>
        </w:rPr>
        <w:t>当</w:t>
      </w:r>
      <w:r>
        <w:rPr>
          <w:rFonts w:ascii="Times New Roman" w:hAnsi="Times New Roman" w:eastAsiaTheme="minorEastAsia"/>
          <w:kern w:val="0"/>
          <w:szCs w:val="21"/>
        </w:rPr>
        <w:t>试验结果判断为阳性时，可计算EC2.7，通过线性回归法用以下方程进行计算：</w:t>
      </w:r>
    </w:p>
    <w:p>
      <w:pPr>
        <w:pStyle w:val="9"/>
        <w:spacing w:before="113"/>
        <w:ind w:left="290" w:right="944"/>
        <w:jc w:val="center"/>
        <w:rPr>
          <w:rFonts w:cs="Times New Roman" w:eastAsiaTheme="minorEastAsia"/>
          <w:sz w:val="21"/>
          <w:szCs w:val="21"/>
        </w:rPr>
      </w:pPr>
      <w:r>
        <w:rPr>
          <w:rFonts w:cs="Times New Roman" w:eastAsiaTheme="minorEastAsia"/>
          <w:sz w:val="21"/>
          <w:szCs w:val="21"/>
        </w:rPr>
        <w:t>Y（SI）= aX（浓度）+b → EC 2.7 =（2.7-</w:t>
      </w:r>
      <w:r>
        <w:rPr>
          <w:rFonts w:cs="Times New Roman" w:eastAsiaTheme="minorEastAsia"/>
          <w:spacing w:val="-4"/>
          <w:sz w:val="21"/>
          <w:szCs w:val="21"/>
        </w:rPr>
        <w:t>b）/a</w:t>
      </w:r>
    </w:p>
    <w:p>
      <w:pPr>
        <w:autoSpaceDE w:val="0"/>
        <w:autoSpaceDN w:val="0"/>
        <w:spacing w:before="121" w:line="300" w:lineRule="auto"/>
        <w:ind w:left="160" w:right="658" w:firstLine="210" w:firstLineChars="100"/>
        <w:jc w:val="left"/>
        <w:rPr>
          <w:rFonts w:ascii="Times New Roman" w:hAnsi="Times New Roman" w:eastAsiaTheme="minorEastAsia"/>
          <w:kern w:val="0"/>
          <w:szCs w:val="21"/>
        </w:rPr>
      </w:pPr>
      <w:r>
        <w:rPr>
          <w:rFonts w:ascii="Times New Roman" w:hAnsi="Times New Roman" w:eastAsiaTheme="minorEastAsia"/>
          <w:kern w:val="0"/>
          <w:szCs w:val="21"/>
        </w:rPr>
        <w:t>注：a为斜率，b为y轴截距，可使用线性最小二乘法推导得出。</w:t>
      </w:r>
    </w:p>
    <w:p>
      <w:pPr>
        <w:autoSpaceDE w:val="0"/>
        <w:autoSpaceDN w:val="0"/>
        <w:spacing w:line="300" w:lineRule="auto"/>
        <w:ind w:firstLine="420" w:firstLineChars="200"/>
        <w:rPr>
          <w:rFonts w:ascii="Times New Roman" w:hAnsi="Times New Roman"/>
          <w:kern w:val="0"/>
          <w:szCs w:val="21"/>
        </w:rPr>
      </w:pPr>
    </w:p>
    <w:p>
      <w:pPr>
        <w:autoSpaceDE w:val="0"/>
        <w:autoSpaceDN w:val="0"/>
        <w:spacing w:line="300" w:lineRule="auto"/>
        <w:ind w:firstLine="420" w:firstLineChars="200"/>
        <w:rPr>
          <w:rFonts w:ascii="Times New Roman" w:hAnsi="Times New Roman"/>
          <w:kern w:val="0"/>
          <w:szCs w:val="21"/>
        </w:rPr>
      </w:pPr>
      <w:r>
        <w:rPr>
          <w:rFonts w:hint="eastAsia" w:ascii="Times New Roman" w:hAnsi="Times New Roman"/>
          <w:kern w:val="0"/>
          <w:szCs w:val="21"/>
        </w:rPr>
        <w:t>也可使用其他估计方法（例如线性内插或外推公式）计算EC2.7值。如：当受试物3个浓度的SI值包括</w:t>
      </w:r>
      <w:r>
        <w:rPr>
          <w:rFonts w:hint="eastAsia" w:asciiTheme="minorEastAsia" w:hAnsiTheme="minorEastAsia" w:eastAsiaTheme="minorEastAsia" w:cstheme="minorEastAsia"/>
          <w:kern w:val="0"/>
          <w:szCs w:val="21"/>
        </w:rPr>
        <w:t>＞</w:t>
      </w:r>
      <w:r>
        <w:rPr>
          <w:rFonts w:hint="eastAsia" w:ascii="Times New Roman" w:hAnsi="Times New Roman"/>
          <w:kern w:val="0"/>
          <w:szCs w:val="21"/>
        </w:rPr>
        <w:t>2.7和</w:t>
      </w:r>
      <w:r>
        <w:rPr>
          <w:rFonts w:hint="eastAsia" w:asciiTheme="majorEastAsia" w:hAnsiTheme="majorEastAsia" w:eastAsiaTheme="majorEastAsia" w:cstheme="majorEastAsia"/>
          <w:kern w:val="0"/>
          <w:szCs w:val="21"/>
        </w:rPr>
        <w:t>＜</w:t>
      </w:r>
      <w:r>
        <w:rPr>
          <w:rFonts w:hint="eastAsia" w:ascii="Times New Roman" w:hAnsi="Times New Roman"/>
          <w:kern w:val="0"/>
          <w:szCs w:val="21"/>
        </w:rPr>
        <w:t>2.7时，选择SI＞2.7和＜2.7的两个相邻浓度，采用线性内插法计算；当受试物3个浓度的SI值均&gt;2.7时，选择两个较低浓度，采用线性外推法计算。</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数据应以表格形式显示每只小鼠的BrdU标记细胞数量、每组的BrdU标记细胞数量均值与标准差、每个受试物各剂量组的平均SI值。计算每个受试物的EC2.7值并判定致敏强度。对所有数据</w:t>
      </w:r>
      <w:r>
        <w:rPr>
          <w:rFonts w:hint="eastAsia" w:ascii="Times New Roman" w:hAnsi="Times New Roman"/>
          <w:kern w:val="0"/>
          <w:szCs w:val="21"/>
        </w:rPr>
        <w:t>选用</w:t>
      </w:r>
      <w:r>
        <w:rPr>
          <w:rFonts w:ascii="Times New Roman" w:hAnsi="Times New Roman"/>
          <w:kern w:val="0"/>
          <w:szCs w:val="21"/>
        </w:rPr>
        <w:t>合理</w:t>
      </w:r>
      <w:r>
        <w:rPr>
          <w:rFonts w:hint="eastAsia" w:ascii="Times New Roman" w:hAnsi="Times New Roman"/>
          <w:kern w:val="0"/>
          <w:szCs w:val="21"/>
        </w:rPr>
        <w:t>可靠</w:t>
      </w:r>
      <w:r>
        <w:rPr>
          <w:rFonts w:ascii="Times New Roman" w:hAnsi="Times New Roman"/>
          <w:kern w:val="0"/>
          <w:szCs w:val="21"/>
        </w:rPr>
        <w:t>的统计学方法进行评价。</w:t>
      </w:r>
    </w:p>
    <w:p>
      <w:pPr>
        <w:spacing w:before="156" w:beforeLines="50" w:after="156" w:afterLines="50" w:line="300" w:lineRule="auto"/>
        <w:rPr>
          <w:rFonts w:ascii="Times New Roman" w:hAnsi="Times New Roman" w:eastAsia="黑体"/>
          <w:bCs/>
          <w:kern w:val="0"/>
          <w:szCs w:val="21"/>
        </w:rPr>
      </w:pPr>
      <w:r>
        <w:rPr>
          <w:rFonts w:hint="eastAsia" w:ascii="Times New Roman" w:hAnsi="Times New Roman" w:eastAsia="黑体"/>
          <w:bCs/>
          <w:kern w:val="0"/>
          <w:szCs w:val="21"/>
        </w:rPr>
        <w:t>9</w:t>
      </w:r>
      <w:r>
        <w:rPr>
          <w:rFonts w:ascii="Times New Roman" w:hAnsi="Times New Roman" w:eastAsia="黑体"/>
          <w:bCs/>
          <w:kern w:val="0"/>
          <w:szCs w:val="21"/>
        </w:rPr>
        <w:t xml:space="preserve"> </w:t>
      </w:r>
      <w:r>
        <w:rPr>
          <w:rFonts w:hint="eastAsia" w:ascii="Times New Roman" w:hAnsi="Times New Roman" w:eastAsia="黑体"/>
          <w:bCs/>
          <w:kern w:val="0"/>
          <w:szCs w:val="21"/>
        </w:rPr>
        <w:t xml:space="preserve"> 试验结果评价</w:t>
      </w:r>
    </w:p>
    <w:p>
      <w:pPr>
        <w:autoSpaceDE w:val="0"/>
        <w:autoSpaceDN w:val="0"/>
        <w:spacing w:line="300" w:lineRule="auto"/>
        <w:ind w:firstLine="420" w:firstLineChars="200"/>
        <w:rPr>
          <w:rFonts w:ascii="Times New Roman" w:hAnsi="Times New Roman"/>
          <w:kern w:val="0"/>
          <w:szCs w:val="21"/>
        </w:rPr>
      </w:pPr>
      <w:r>
        <w:rPr>
          <w:rFonts w:ascii="Times New Roman" w:hAnsi="Times New Roman"/>
          <w:kern w:val="0"/>
          <w:szCs w:val="21"/>
        </w:rPr>
        <w:t>刺激指数SI</w:t>
      </w:r>
      <w:r>
        <w:rPr>
          <w:rFonts w:hint="eastAsia" w:asciiTheme="majorEastAsia" w:hAnsiTheme="majorEastAsia" w:eastAsiaTheme="majorEastAsia" w:cstheme="majorEastAsia"/>
          <w:kern w:val="0"/>
          <w:szCs w:val="21"/>
        </w:rPr>
        <w:t>≥</w:t>
      </w:r>
      <w:r>
        <w:rPr>
          <w:rFonts w:ascii="Times New Roman" w:hAnsi="Times New Roman"/>
          <w:kern w:val="0"/>
          <w:szCs w:val="21"/>
        </w:rPr>
        <w:t>2.7，受试物为致敏阳性。对于</w:t>
      </w:r>
      <w:r>
        <w:rPr>
          <w:rFonts w:hint="eastAsia" w:ascii="Times New Roman" w:hAnsi="Times New Roman"/>
          <w:kern w:val="0"/>
          <w:szCs w:val="21"/>
        </w:rPr>
        <w:t>SI</w:t>
      </w:r>
      <w:r>
        <w:rPr>
          <w:rFonts w:hint="eastAsia" w:asciiTheme="majorEastAsia" w:hAnsiTheme="majorEastAsia" w:eastAsiaTheme="majorEastAsia" w:cstheme="majorEastAsia"/>
          <w:kern w:val="0"/>
          <w:szCs w:val="21"/>
        </w:rPr>
        <w:t>≥</w:t>
      </w:r>
      <w:r>
        <w:rPr>
          <w:rFonts w:ascii="Times New Roman" w:hAnsi="Times New Roman"/>
          <w:kern w:val="0"/>
          <w:szCs w:val="21"/>
        </w:rPr>
        <w:t>2.7</w:t>
      </w:r>
      <w:r>
        <w:rPr>
          <w:rFonts w:hint="eastAsia" w:ascii="Times New Roman" w:hAnsi="Times New Roman"/>
          <w:kern w:val="0"/>
          <w:szCs w:val="21"/>
        </w:rPr>
        <w:t>的</w:t>
      </w:r>
      <w:r>
        <w:rPr>
          <w:rFonts w:ascii="Times New Roman" w:hAnsi="Times New Roman"/>
          <w:kern w:val="0"/>
          <w:szCs w:val="21"/>
        </w:rPr>
        <w:t>临界值是否判断为阳性，应结合考虑剂量-效应关系、统计显著性、系统毒性或皮肤刺激性、溶剂对照与阳性对照反应一致性、与已知致敏物的结构关系等。按表2对受试物进行致敏强度分级。</w:t>
      </w:r>
    </w:p>
    <w:p>
      <w:pPr>
        <w:autoSpaceDE w:val="0"/>
        <w:autoSpaceDN w:val="0"/>
        <w:spacing w:before="156" w:beforeLines="50" w:after="156" w:afterLines="50" w:line="300" w:lineRule="auto"/>
        <w:jc w:val="center"/>
        <w:rPr>
          <w:rFonts w:ascii="Times New Roman" w:hAnsi="Times New Roman" w:eastAsia="黑体"/>
          <w:kern w:val="0"/>
          <w:szCs w:val="21"/>
        </w:rPr>
      </w:pPr>
      <w:r>
        <w:rPr>
          <w:rFonts w:ascii="Times New Roman" w:hAnsi="Times New Roman" w:eastAsia="黑体"/>
          <w:kern w:val="0"/>
          <w:szCs w:val="21"/>
        </w:rPr>
        <w:t>表2 皮肤致敏强度分级</w:t>
      </w:r>
    </w:p>
    <w:tbl>
      <w:tblPr>
        <w:tblStyle w:val="6"/>
        <w:tblW w:w="5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92" w:type="dxa"/>
            <w:tcBorders>
              <w:left w:val="nil"/>
              <w:right w:val="nil"/>
            </w:tcBorders>
            <w:vAlign w:val="center"/>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EC2.7</w:t>
            </w:r>
            <w:r>
              <w:rPr>
                <w:rFonts w:asciiTheme="minorEastAsia" w:hAnsiTheme="minorEastAsia"/>
                <w:kern w:val="0"/>
                <w:szCs w:val="21"/>
              </w:rPr>
              <w:t>(</w:t>
            </w:r>
            <w:r>
              <w:rPr>
                <w:rFonts w:ascii="Times New Roman" w:hAnsi="Times New Roman"/>
                <w:kern w:val="0"/>
                <w:szCs w:val="21"/>
              </w:rPr>
              <w:t>%</w:t>
            </w:r>
            <w:r>
              <w:rPr>
                <w:rFonts w:ascii="宋体" w:hAnsi="宋体"/>
                <w:kern w:val="0"/>
                <w:szCs w:val="21"/>
              </w:rPr>
              <w:t>)</w:t>
            </w:r>
            <w:r>
              <w:rPr>
                <w:rFonts w:ascii="Times New Roman" w:hAnsi="Times New Roman"/>
                <w:kern w:val="0"/>
                <w:szCs w:val="21"/>
              </w:rPr>
              <w:t>值范围</w:t>
            </w:r>
          </w:p>
        </w:tc>
        <w:tc>
          <w:tcPr>
            <w:tcW w:w="2507" w:type="dxa"/>
            <w:tcBorders>
              <w:left w:val="nil"/>
              <w:right w:val="nil"/>
            </w:tcBorders>
            <w:vAlign w:val="center"/>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致敏强度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92" w:type="dxa"/>
            <w:tcBorders>
              <w:left w:val="nil"/>
              <w:bottom w:val="nil"/>
              <w:right w:val="nil"/>
            </w:tcBorders>
            <w:vAlign w:val="center"/>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EC2.7</w:t>
            </w:r>
            <w:r>
              <w:rPr>
                <w:rFonts w:ascii="宋体" w:hAnsi="宋体"/>
                <w:kern w:val="0"/>
                <w:szCs w:val="21"/>
              </w:rPr>
              <w:t>(</w:t>
            </w:r>
            <w:r>
              <w:rPr>
                <w:rFonts w:ascii="Times New Roman" w:hAnsi="Times New Roman"/>
                <w:kern w:val="0"/>
                <w:szCs w:val="21"/>
              </w:rPr>
              <w:t>%</w:t>
            </w:r>
            <w:r>
              <w:rPr>
                <w:rFonts w:ascii="宋体" w:hAnsi="宋体"/>
                <w:kern w:val="0"/>
                <w:szCs w:val="21"/>
              </w:rPr>
              <w:t>)</w:t>
            </w:r>
            <w:r>
              <w:rPr>
                <w:rFonts w:ascii="Times New Roman" w:hAnsi="Times New Roman"/>
                <w:kern w:val="0"/>
                <w:szCs w:val="21"/>
              </w:rPr>
              <w:t>＜0.1</w:t>
            </w:r>
          </w:p>
        </w:tc>
        <w:tc>
          <w:tcPr>
            <w:tcW w:w="2507" w:type="dxa"/>
            <w:tcBorders>
              <w:left w:val="nil"/>
              <w:bottom w:val="nil"/>
              <w:right w:val="nil"/>
            </w:tcBorders>
            <w:vAlign w:val="center"/>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极强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992" w:type="dxa"/>
            <w:tcBorders>
              <w:top w:val="nil"/>
              <w:left w:val="nil"/>
              <w:bottom w:val="nil"/>
              <w:right w:val="nil"/>
            </w:tcBorders>
            <w:vAlign w:val="center"/>
          </w:tcPr>
          <w:p>
            <w:pPr>
              <w:autoSpaceDE w:val="0"/>
              <w:autoSpaceDN w:val="0"/>
              <w:spacing w:line="300" w:lineRule="auto"/>
              <w:jc w:val="center"/>
              <w:rPr>
                <w:rFonts w:ascii="Times New Roman" w:hAnsi="Times New Roman"/>
                <w:kern w:val="0"/>
                <w:szCs w:val="21"/>
              </w:rPr>
            </w:pPr>
            <w:r>
              <w:rPr>
                <w:rFonts w:hint="eastAsia" w:ascii="Times New Roman" w:hAnsi="Times New Roman"/>
                <w:kern w:val="0"/>
                <w:szCs w:val="21"/>
              </w:rPr>
              <w:t>0.1≤</w:t>
            </w:r>
            <w:r>
              <w:rPr>
                <w:rFonts w:ascii="Times New Roman" w:hAnsi="Times New Roman"/>
                <w:kern w:val="0"/>
                <w:szCs w:val="21"/>
              </w:rPr>
              <w:t>EC2.7</w:t>
            </w:r>
            <w:r>
              <w:rPr>
                <w:rFonts w:ascii="宋体" w:hAnsi="宋体"/>
                <w:kern w:val="0"/>
                <w:szCs w:val="21"/>
              </w:rPr>
              <w:t>(</w:t>
            </w:r>
            <w:r>
              <w:rPr>
                <w:rFonts w:ascii="Times New Roman" w:hAnsi="Times New Roman"/>
                <w:kern w:val="0"/>
                <w:szCs w:val="21"/>
              </w:rPr>
              <w:t>%</w:t>
            </w:r>
            <w:r>
              <w:rPr>
                <w:rFonts w:ascii="宋体" w:hAnsi="宋体"/>
                <w:kern w:val="0"/>
                <w:szCs w:val="21"/>
              </w:rPr>
              <w:t>)</w:t>
            </w:r>
            <w:r>
              <w:rPr>
                <w:rFonts w:ascii="Times New Roman" w:hAnsi="Times New Roman"/>
                <w:kern w:val="0"/>
                <w:szCs w:val="21"/>
              </w:rPr>
              <w:t>＜1</w:t>
            </w:r>
          </w:p>
        </w:tc>
        <w:tc>
          <w:tcPr>
            <w:tcW w:w="2507" w:type="dxa"/>
            <w:tcBorders>
              <w:top w:val="nil"/>
              <w:left w:val="nil"/>
              <w:bottom w:val="nil"/>
              <w:right w:val="nil"/>
            </w:tcBorders>
            <w:vAlign w:val="center"/>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992" w:type="dxa"/>
            <w:tcBorders>
              <w:top w:val="nil"/>
              <w:left w:val="nil"/>
              <w:bottom w:val="nil"/>
              <w:right w:val="nil"/>
            </w:tcBorders>
            <w:vAlign w:val="center"/>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w:t>
            </w:r>
            <w:r>
              <w:rPr>
                <w:rFonts w:ascii="Times New Roman" w:hAnsi="Times New Roman"/>
                <w:kern w:val="0"/>
                <w:szCs w:val="21"/>
              </w:rPr>
              <w:t>EC2.7</w:t>
            </w:r>
            <w:r>
              <w:rPr>
                <w:rFonts w:ascii="宋体" w:hAnsi="宋体"/>
                <w:kern w:val="0"/>
                <w:szCs w:val="21"/>
              </w:rPr>
              <w:t>(</w:t>
            </w:r>
            <w:r>
              <w:rPr>
                <w:rFonts w:ascii="Times New Roman" w:hAnsi="Times New Roman"/>
                <w:kern w:val="0"/>
                <w:szCs w:val="21"/>
              </w:rPr>
              <w:t>%</w:t>
            </w:r>
            <w:r>
              <w:rPr>
                <w:rFonts w:ascii="宋体" w:hAnsi="宋体"/>
                <w:kern w:val="0"/>
                <w:szCs w:val="21"/>
              </w:rPr>
              <w:t>)</w:t>
            </w:r>
            <w:r>
              <w:rPr>
                <w:rFonts w:ascii="Times New Roman" w:hAnsi="Times New Roman"/>
                <w:kern w:val="0"/>
                <w:szCs w:val="21"/>
              </w:rPr>
              <w:t>＜10</w:t>
            </w:r>
          </w:p>
        </w:tc>
        <w:tc>
          <w:tcPr>
            <w:tcW w:w="2507" w:type="dxa"/>
            <w:tcBorders>
              <w:top w:val="nil"/>
              <w:left w:val="nil"/>
              <w:bottom w:val="nil"/>
              <w:right w:val="nil"/>
            </w:tcBorders>
            <w:vAlign w:val="center"/>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92" w:type="dxa"/>
            <w:tcBorders>
              <w:top w:val="nil"/>
              <w:left w:val="nil"/>
              <w:right w:val="nil"/>
            </w:tcBorders>
            <w:vAlign w:val="center"/>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10</w:t>
            </w:r>
            <w:r>
              <w:rPr>
                <w:rFonts w:hint="eastAsia" w:ascii="Times New Roman" w:hAnsi="Times New Roman"/>
                <w:kern w:val="0"/>
                <w:szCs w:val="21"/>
              </w:rPr>
              <w:t>≤</w:t>
            </w:r>
            <w:r>
              <w:rPr>
                <w:rFonts w:ascii="Times New Roman" w:hAnsi="Times New Roman"/>
                <w:kern w:val="0"/>
                <w:szCs w:val="21"/>
              </w:rPr>
              <w:t>EC2.7</w:t>
            </w:r>
            <w:r>
              <w:rPr>
                <w:rFonts w:ascii="宋体" w:hAnsi="宋体"/>
                <w:kern w:val="0"/>
                <w:szCs w:val="21"/>
              </w:rPr>
              <w:t>(</w:t>
            </w:r>
            <w:r>
              <w:rPr>
                <w:rFonts w:ascii="Times New Roman" w:hAnsi="Times New Roman"/>
                <w:kern w:val="0"/>
                <w:szCs w:val="21"/>
              </w:rPr>
              <w:t>%</w:t>
            </w:r>
            <w:r>
              <w:rPr>
                <w:rFonts w:ascii="宋体" w:hAnsi="宋体"/>
                <w:kern w:val="0"/>
                <w:szCs w:val="21"/>
              </w:rPr>
              <w:t>)</w:t>
            </w:r>
            <w:r>
              <w:rPr>
                <w:rFonts w:ascii="Times New Roman" w:hAnsi="Times New Roman"/>
                <w:kern w:val="0"/>
                <w:szCs w:val="21"/>
              </w:rPr>
              <w:t>＜100</w:t>
            </w:r>
          </w:p>
        </w:tc>
        <w:tc>
          <w:tcPr>
            <w:tcW w:w="2507" w:type="dxa"/>
            <w:tcBorders>
              <w:top w:val="nil"/>
              <w:left w:val="nil"/>
              <w:right w:val="nil"/>
            </w:tcBorders>
            <w:vAlign w:val="center"/>
          </w:tcPr>
          <w:p>
            <w:pPr>
              <w:autoSpaceDE w:val="0"/>
              <w:autoSpaceDN w:val="0"/>
              <w:spacing w:line="300" w:lineRule="auto"/>
              <w:jc w:val="center"/>
              <w:rPr>
                <w:rFonts w:ascii="Times New Roman" w:hAnsi="Times New Roman"/>
                <w:kern w:val="0"/>
                <w:szCs w:val="21"/>
              </w:rPr>
            </w:pPr>
            <w:r>
              <w:rPr>
                <w:rFonts w:ascii="Times New Roman" w:hAnsi="Times New Roman"/>
                <w:kern w:val="0"/>
                <w:szCs w:val="21"/>
              </w:rPr>
              <w:t>弱</w:t>
            </w:r>
          </w:p>
        </w:tc>
      </w:tr>
    </w:tbl>
    <w:p>
      <w:pPr>
        <w:spacing w:before="156" w:beforeLines="50" w:after="156" w:afterLines="50" w:line="300" w:lineRule="auto"/>
        <w:rPr>
          <w:rFonts w:ascii="Times New Roman" w:hAnsi="Times New Roman" w:eastAsia="黑体"/>
          <w:bCs/>
          <w:kern w:val="0"/>
          <w:szCs w:val="21"/>
        </w:rPr>
      </w:pPr>
      <w:bookmarkStart w:id="10" w:name="_Hlk520189830"/>
      <w:r>
        <w:rPr>
          <w:rFonts w:hint="eastAsia" w:ascii="Times New Roman" w:hAnsi="Times New Roman" w:eastAsia="黑体"/>
          <w:bCs/>
          <w:kern w:val="0"/>
          <w:szCs w:val="21"/>
        </w:rPr>
        <w:t xml:space="preserve">10  </w:t>
      </w:r>
      <w:r>
        <w:rPr>
          <w:rFonts w:ascii="Times New Roman" w:hAnsi="Times New Roman" w:eastAsia="黑体"/>
          <w:bCs/>
          <w:kern w:val="0"/>
          <w:szCs w:val="21"/>
        </w:rPr>
        <w:t>试验结果的解释</w:t>
      </w:r>
    </w:p>
    <w:p>
      <w:pPr>
        <w:autoSpaceDE w:val="0"/>
        <w:autoSpaceDN w:val="0"/>
        <w:spacing w:line="300" w:lineRule="auto"/>
        <w:ind w:firstLine="420" w:firstLineChars="200"/>
      </w:pPr>
      <w:r>
        <w:rPr>
          <w:rFonts w:ascii="Times New Roman" w:hAnsi="Times New Roman"/>
          <w:kern w:val="0"/>
          <w:szCs w:val="21"/>
        </w:rPr>
        <w:t>试验结果应能得出受试物的致敏能力和强度。这些结果只能在很有限的范围内外推到人类。</w:t>
      </w:r>
      <w:bookmarkEnd w:id="10"/>
      <w:bookmarkStart w:id="11" w:name="_GoBack"/>
      <w:bookmarkEnd w:id="11"/>
    </w:p>
    <w:p/>
    <w:p/>
    <w:p/>
    <w:p/>
    <w:p/>
    <w:p/>
    <w:p/>
    <w:p/>
    <w:p/>
    <w:p/>
    <w:p/>
    <w:p/>
    <w:p/>
    <w:p/>
    <w:p/>
    <w:p/>
    <w:p/>
    <w:p/>
    <w:p/>
    <w:p/>
    <w:p/>
    <w:p/>
    <w:p/>
    <w:p/>
    <w:p/>
    <w:p/>
    <w:p/>
    <w:p/>
    <w:p/>
    <w:p/>
    <w:p/>
    <w:p/>
    <w:p/>
    <w:p/>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20B0604020202020204"/>
    <w:charset w:val="00"/>
    <w:family w:val="swiss"/>
    <w:pitch w:val="default"/>
    <w:sig w:usb0="00000000" w:usb1="00000000" w:usb2="00000009" w:usb3="00000000" w:csb0="000001FF" w:csb1="0000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F30"/>
    <w:rsid w:val="000B147D"/>
    <w:rsid w:val="00171ABB"/>
    <w:rsid w:val="002E5F3B"/>
    <w:rsid w:val="00380F30"/>
    <w:rsid w:val="003F0729"/>
    <w:rsid w:val="004B65E5"/>
    <w:rsid w:val="007E6EA5"/>
    <w:rsid w:val="008B4BFF"/>
    <w:rsid w:val="00CD1781"/>
    <w:rsid w:val="00E10D07"/>
    <w:rsid w:val="00E37997"/>
    <w:rsid w:val="00EE0985"/>
    <w:rsid w:val="01F72F94"/>
    <w:rsid w:val="020C62E0"/>
    <w:rsid w:val="052D6C99"/>
    <w:rsid w:val="09C05B8F"/>
    <w:rsid w:val="0E3F45A6"/>
    <w:rsid w:val="10751702"/>
    <w:rsid w:val="13F560E4"/>
    <w:rsid w:val="161C5D03"/>
    <w:rsid w:val="1BD6227E"/>
    <w:rsid w:val="1E294407"/>
    <w:rsid w:val="1FFFC2EA"/>
    <w:rsid w:val="20604007"/>
    <w:rsid w:val="21303941"/>
    <w:rsid w:val="217365FF"/>
    <w:rsid w:val="24AA2336"/>
    <w:rsid w:val="25180EA6"/>
    <w:rsid w:val="29566497"/>
    <w:rsid w:val="29BB5032"/>
    <w:rsid w:val="33C30645"/>
    <w:rsid w:val="340727A7"/>
    <w:rsid w:val="394D28ED"/>
    <w:rsid w:val="3D3F29FF"/>
    <w:rsid w:val="410B7F7B"/>
    <w:rsid w:val="47C943D0"/>
    <w:rsid w:val="489C0178"/>
    <w:rsid w:val="49AA19C3"/>
    <w:rsid w:val="4D6C71C2"/>
    <w:rsid w:val="5D7B450F"/>
    <w:rsid w:val="5FF9D0B2"/>
    <w:rsid w:val="60D86F08"/>
    <w:rsid w:val="61087631"/>
    <w:rsid w:val="615F00E1"/>
    <w:rsid w:val="62F348A3"/>
    <w:rsid w:val="64574961"/>
    <w:rsid w:val="6AD3482F"/>
    <w:rsid w:val="6B7544A6"/>
    <w:rsid w:val="6BB220FB"/>
    <w:rsid w:val="6D017D15"/>
    <w:rsid w:val="77033FD3"/>
    <w:rsid w:val="7B66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Emphasis"/>
    <w:basedOn w:val="7"/>
    <w:qFormat/>
    <w:uiPriority w:val="20"/>
    <w:rPr>
      <w:i/>
      <w:iCs/>
    </w:rPr>
  </w:style>
  <w:style w:type="paragraph" w:customStyle="1" w:styleId="9">
    <w:name w:val="P68B1DB1-Normal19"/>
    <w:basedOn w:val="1"/>
    <w:qFormat/>
    <w:uiPriority w:val="0"/>
    <w:pPr>
      <w:autoSpaceDE w:val="0"/>
      <w:autoSpaceDN w:val="0"/>
      <w:jc w:val="left"/>
    </w:pPr>
    <w:rPr>
      <w:rFonts w:ascii="Times New Roman" w:hAnsi="Times New Roman" w:eastAsia="Arial" w:cs="Arial"/>
      <w:kern w:val="0"/>
      <w:sz w:val="22"/>
    </w:rPr>
  </w:style>
  <w:style w:type="paragraph" w:customStyle="1" w:styleId="10">
    <w:name w:val="P68B1DB1-ListParagraph29"/>
    <w:basedOn w:val="11"/>
    <w:qFormat/>
    <w:uiPriority w:val="0"/>
    <w:pPr>
      <w:autoSpaceDE w:val="0"/>
      <w:autoSpaceDN w:val="0"/>
      <w:spacing w:before="120"/>
      <w:ind w:left="982" w:firstLine="0" w:firstLineChars="0"/>
    </w:pPr>
    <w:rPr>
      <w:rFonts w:ascii="Times New Roman" w:hAnsi="Times New Roman" w:eastAsia="Arial" w:cs="Arial"/>
      <w:kern w:val="0"/>
      <w:sz w:val="22"/>
    </w:rPr>
  </w:style>
  <w:style w:type="paragraph" w:styleId="11">
    <w:name w:val="List Paragraph"/>
    <w:basedOn w:val="1"/>
    <w:qFormat/>
    <w:uiPriority w:val="34"/>
    <w:pPr>
      <w:ind w:firstLine="420" w:firstLineChars="200"/>
    </w:pPr>
  </w:style>
  <w:style w:type="character" w:customStyle="1" w:styleId="12">
    <w:name w:val="批注框文本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1095</Words>
  <Characters>6243</Characters>
  <Lines>52</Lines>
  <Paragraphs>14</Paragraphs>
  <TotalTime>3</TotalTime>
  <ScaleCrop>false</ScaleCrop>
  <LinksUpToDate>false</LinksUpToDate>
  <CharactersWithSpaces>7324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2025-12-05T11:06:00Z</dcterms:created>
  <dc:creator>User</dc:creator>
  <cp:lastModifiedBy>lisc</cp:lastModifiedBy>
  <dcterms:modified xsi:type="dcterms:W3CDTF">2026-01-05T10:07:37Z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KSOTemplateDocerSaveRecord">
    <vt:lpwstr>eyJoZGlkIjoiMWEzNzI4NzY2MzhmZGUwYWVmODY1N2RmOTVkOTljMWMiLCJ1c2VySWQiOiIxNzY0OTMwNjE0In0=</vt:lpwstr>
  </property>
  <property fmtid="{D5CDD505-2E9C-101B-9397-08002B2CF9AE}" pid="4" name="ICV">
    <vt:lpwstr>2904B375E9B4490FBB78DDE5AD1D9355_13</vt:lpwstr>
  </property>
</Properties>
</file>